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213"/>
        <w:gridCol w:w="1856"/>
        <w:gridCol w:w="1426"/>
        <w:gridCol w:w="992"/>
        <w:gridCol w:w="2227"/>
      </w:tblGrid>
      <w:tr w:rsidR="00076F42" w:rsidRPr="00DB5B10" w14:paraId="2F070D85" w14:textId="77777777" w:rsidTr="00A126A2">
        <w:tc>
          <w:tcPr>
            <w:tcW w:w="8714" w:type="dxa"/>
            <w:gridSpan w:val="5"/>
          </w:tcPr>
          <w:p w14:paraId="105F31D2" w14:textId="5F034F6A" w:rsidR="00076F42" w:rsidRPr="00DB5B10" w:rsidRDefault="003F0064" w:rsidP="00A126A2">
            <w:pPr>
              <w:jc w:val="center"/>
            </w:pPr>
            <w:r>
              <w:t>Máster en Seguridad, Paz y Conf</w:t>
            </w:r>
            <w:r w:rsidR="00182D0E">
              <w:t>l</w:t>
            </w:r>
            <w:r>
              <w:t>ictos Internacionales</w:t>
            </w:r>
          </w:p>
        </w:tc>
      </w:tr>
      <w:tr w:rsidR="00076F42" w:rsidRPr="00DB5B10" w14:paraId="2863267B" w14:textId="77777777" w:rsidTr="00A126A2">
        <w:tc>
          <w:tcPr>
            <w:tcW w:w="8714" w:type="dxa"/>
            <w:gridSpan w:val="5"/>
          </w:tcPr>
          <w:p w14:paraId="3C9E850D" w14:textId="77777777" w:rsidR="00076F42" w:rsidRPr="00DB5B10" w:rsidRDefault="00076F42" w:rsidP="00A126A2">
            <w:pPr>
              <w:jc w:val="center"/>
            </w:pPr>
            <w:r w:rsidRPr="00DB5B10">
              <w:t>Centro Mixto de Estudios en Seguridad USC-CESEDEN</w:t>
            </w:r>
          </w:p>
        </w:tc>
      </w:tr>
      <w:tr w:rsidR="00076F42" w:rsidRPr="00DB5B10" w14:paraId="355E978B" w14:textId="77777777" w:rsidTr="00A126A2">
        <w:tc>
          <w:tcPr>
            <w:tcW w:w="4069" w:type="dxa"/>
            <w:gridSpan w:val="2"/>
          </w:tcPr>
          <w:p w14:paraId="7EC7FF97" w14:textId="6694C5A2" w:rsidR="00076F42" w:rsidRPr="00DB5B10" w:rsidRDefault="00076F42" w:rsidP="00E671BA">
            <w:pPr>
              <w:jc w:val="both"/>
            </w:pPr>
            <w:r w:rsidRPr="004E32C4">
              <w:rPr>
                <w:b/>
              </w:rPr>
              <w:t>Materia:</w:t>
            </w:r>
            <w:r w:rsidR="003F0064">
              <w:t xml:space="preserve"> Dimensión marítima de la seguridad internacional.</w:t>
            </w:r>
          </w:p>
        </w:tc>
        <w:tc>
          <w:tcPr>
            <w:tcW w:w="4645" w:type="dxa"/>
            <w:gridSpan w:val="3"/>
          </w:tcPr>
          <w:p w14:paraId="59A54BED" w14:textId="0C595B5C" w:rsidR="00076F42" w:rsidRPr="00DB5B10" w:rsidRDefault="00076F42" w:rsidP="007F2F5D">
            <w:r w:rsidRPr="004E32C4">
              <w:rPr>
                <w:b/>
              </w:rPr>
              <w:t>Idiomas:</w:t>
            </w:r>
            <w:r w:rsidR="003F0064">
              <w:t xml:space="preserve"> Castellano,</w:t>
            </w:r>
            <w:r w:rsidRPr="00DB5B10">
              <w:t xml:space="preserve"> inglés</w:t>
            </w:r>
            <w:r w:rsidR="003F0064">
              <w:t xml:space="preserve"> y francés</w:t>
            </w:r>
          </w:p>
        </w:tc>
      </w:tr>
      <w:tr w:rsidR="00076F42" w:rsidRPr="00DB5B10" w14:paraId="7C7A6C10" w14:textId="77777777" w:rsidTr="00A126A2">
        <w:tc>
          <w:tcPr>
            <w:tcW w:w="2213" w:type="dxa"/>
          </w:tcPr>
          <w:p w14:paraId="08E87E2D" w14:textId="1D0F1204" w:rsidR="00076F42" w:rsidRPr="00DB5B10" w:rsidRDefault="00076F42" w:rsidP="00F349EF">
            <w:r w:rsidRPr="004E32C4">
              <w:rPr>
                <w:b/>
              </w:rPr>
              <w:t>Profesor:</w:t>
            </w:r>
            <w:r w:rsidRPr="00DB5B10">
              <w:t xml:space="preserve"> </w:t>
            </w:r>
            <w:r w:rsidR="003F0064">
              <w:t>BAUZÁ ABRIL, Bartolomé &amp; FERNÁNDEZ FADÓN, Fernando</w:t>
            </w:r>
          </w:p>
        </w:tc>
        <w:tc>
          <w:tcPr>
            <w:tcW w:w="3282" w:type="dxa"/>
            <w:gridSpan w:val="2"/>
          </w:tcPr>
          <w:p w14:paraId="5A3D2D2F" w14:textId="308386C0" w:rsidR="00076F42" w:rsidRPr="00DB5B10" w:rsidRDefault="00076F42" w:rsidP="00A126A2">
            <w:r w:rsidRPr="004E32C4">
              <w:rPr>
                <w:b/>
              </w:rPr>
              <w:t>Departamento:</w:t>
            </w:r>
            <w:r w:rsidR="003F0064">
              <w:t xml:space="preserve"> </w:t>
            </w:r>
          </w:p>
        </w:tc>
        <w:tc>
          <w:tcPr>
            <w:tcW w:w="3219" w:type="dxa"/>
            <w:gridSpan w:val="2"/>
          </w:tcPr>
          <w:p w14:paraId="77FB3DAF" w14:textId="10A31B38" w:rsidR="00076F42" w:rsidRPr="00DB5B10" w:rsidRDefault="00076F42" w:rsidP="007F2F5D">
            <w:r w:rsidRPr="004E32C4">
              <w:rPr>
                <w:b/>
              </w:rPr>
              <w:t>Centro:</w:t>
            </w:r>
            <w:r w:rsidR="007F2F5D">
              <w:t xml:space="preserve"> Universidad de Santiago de Compostela</w:t>
            </w:r>
          </w:p>
        </w:tc>
      </w:tr>
      <w:tr w:rsidR="00076F42" w:rsidRPr="00DB5B10" w14:paraId="09DAEFF6" w14:textId="77777777" w:rsidTr="00A126A2">
        <w:tc>
          <w:tcPr>
            <w:tcW w:w="2213" w:type="dxa"/>
          </w:tcPr>
          <w:p w14:paraId="7F90AE00" w14:textId="520E633C" w:rsidR="00076F42" w:rsidRPr="00DB5B10" w:rsidRDefault="00076F42" w:rsidP="00A126A2">
            <w:r w:rsidRPr="004E32C4">
              <w:rPr>
                <w:b/>
              </w:rPr>
              <w:t xml:space="preserve">Correo electrónico: </w:t>
            </w:r>
            <w:r w:rsidRPr="00DB5B10">
              <w:t xml:space="preserve"> </w:t>
            </w:r>
          </w:p>
        </w:tc>
        <w:tc>
          <w:tcPr>
            <w:tcW w:w="4274" w:type="dxa"/>
            <w:gridSpan w:val="3"/>
          </w:tcPr>
          <w:p w14:paraId="6C703081" w14:textId="4EF2FDB5" w:rsidR="00076F42" w:rsidRPr="00DB5B10" w:rsidRDefault="00076F42" w:rsidP="00A126A2">
            <w:r w:rsidRPr="004E32C4">
              <w:rPr>
                <w:b/>
              </w:rPr>
              <w:t>Web:</w:t>
            </w:r>
            <w:r w:rsidRPr="00DB5B10">
              <w:t xml:space="preserve"> </w:t>
            </w:r>
          </w:p>
        </w:tc>
        <w:tc>
          <w:tcPr>
            <w:tcW w:w="2227" w:type="dxa"/>
          </w:tcPr>
          <w:p w14:paraId="2701C478" w14:textId="77777777" w:rsidR="00076F42" w:rsidRPr="004E32C4" w:rsidRDefault="00076F42" w:rsidP="00A126A2">
            <w:pPr>
              <w:rPr>
                <w:b/>
              </w:rPr>
            </w:pPr>
            <w:r w:rsidRPr="004E32C4">
              <w:rPr>
                <w:b/>
              </w:rPr>
              <w:t>CV:</w:t>
            </w:r>
          </w:p>
        </w:tc>
      </w:tr>
      <w:tr w:rsidR="00076F42" w:rsidRPr="00DB5B10" w14:paraId="48B25894" w14:textId="77777777" w:rsidTr="00A126A2">
        <w:tc>
          <w:tcPr>
            <w:tcW w:w="2213" w:type="dxa"/>
          </w:tcPr>
          <w:p w14:paraId="2F3464F8" w14:textId="260BBA73" w:rsidR="00076F42" w:rsidRPr="00DB5B10" w:rsidRDefault="00076F42" w:rsidP="00A126A2">
            <w:r w:rsidRPr="004E32C4">
              <w:rPr>
                <w:b/>
              </w:rPr>
              <w:t>Año:</w:t>
            </w:r>
            <w:r w:rsidR="00F328DE">
              <w:t xml:space="preserve"> 2018 - 2019</w:t>
            </w:r>
          </w:p>
        </w:tc>
        <w:tc>
          <w:tcPr>
            <w:tcW w:w="1856" w:type="dxa"/>
          </w:tcPr>
          <w:p w14:paraId="08124534" w14:textId="5E605401" w:rsidR="00076F42" w:rsidRPr="00DB5B10" w:rsidRDefault="00466674" w:rsidP="00A126A2">
            <w:r>
              <w:rPr>
                <w:b/>
              </w:rPr>
              <w:t>Cuatrimestre</w:t>
            </w:r>
            <w:r w:rsidR="00076F42" w:rsidRPr="004E32C4">
              <w:rPr>
                <w:b/>
              </w:rPr>
              <w:t>:</w:t>
            </w:r>
            <w:r w:rsidR="004E32C4">
              <w:t xml:space="preserve"> </w:t>
            </w:r>
            <w:r w:rsidR="00F328DE" w:rsidRPr="00FB2B85">
              <w:t>2º</w:t>
            </w:r>
          </w:p>
        </w:tc>
        <w:tc>
          <w:tcPr>
            <w:tcW w:w="2418" w:type="dxa"/>
            <w:gridSpan w:val="2"/>
          </w:tcPr>
          <w:p w14:paraId="3FF59DD4" w14:textId="51D7CDFC" w:rsidR="00076F42" w:rsidRPr="00DB5B10" w:rsidRDefault="00076F42" w:rsidP="00A126A2">
            <w:r w:rsidRPr="004E32C4">
              <w:rPr>
                <w:b/>
              </w:rPr>
              <w:t>Créditos:</w:t>
            </w:r>
            <w:r w:rsidR="00FB2B85">
              <w:t xml:space="preserve"> 3</w:t>
            </w:r>
            <w:r w:rsidRPr="00DB5B10">
              <w:t xml:space="preserve"> ECTS</w:t>
            </w:r>
          </w:p>
        </w:tc>
        <w:tc>
          <w:tcPr>
            <w:tcW w:w="2227" w:type="dxa"/>
          </w:tcPr>
          <w:p w14:paraId="4CB4A1DC" w14:textId="66B74E40" w:rsidR="00076F42" w:rsidRPr="00DB5B10" w:rsidRDefault="00076F42" w:rsidP="00FB2B85">
            <w:r w:rsidRPr="004E32C4">
              <w:rPr>
                <w:b/>
              </w:rPr>
              <w:t>Tipo:</w:t>
            </w:r>
            <w:r w:rsidR="003F0064">
              <w:t xml:space="preserve"> </w:t>
            </w:r>
            <w:r w:rsidR="00FB2B85">
              <w:t>Obligatorio</w:t>
            </w:r>
          </w:p>
        </w:tc>
      </w:tr>
      <w:tr w:rsidR="00076F42" w:rsidRPr="00DB5B10" w14:paraId="34245047" w14:textId="77777777" w:rsidTr="00A126A2">
        <w:tc>
          <w:tcPr>
            <w:tcW w:w="2213" w:type="dxa"/>
          </w:tcPr>
          <w:p w14:paraId="7CFCEF91" w14:textId="77777777" w:rsidR="00076F42" w:rsidRPr="004E32C4" w:rsidRDefault="00076F42" w:rsidP="00A126A2">
            <w:pPr>
              <w:rPr>
                <w:b/>
              </w:rPr>
            </w:pPr>
            <w:r w:rsidRPr="004E32C4">
              <w:rPr>
                <w:b/>
              </w:rPr>
              <w:t>Carga de trabajo:</w:t>
            </w:r>
          </w:p>
        </w:tc>
        <w:tc>
          <w:tcPr>
            <w:tcW w:w="1856" w:type="dxa"/>
          </w:tcPr>
          <w:p w14:paraId="0E7F8AA9" w14:textId="4053F6FC" w:rsidR="00076F42" w:rsidRPr="00DB5B10" w:rsidRDefault="00076F42" w:rsidP="00A126A2">
            <w:bookmarkStart w:id="0" w:name="_GoBack"/>
            <w:bookmarkEnd w:id="0"/>
          </w:p>
        </w:tc>
        <w:tc>
          <w:tcPr>
            <w:tcW w:w="2418" w:type="dxa"/>
            <w:gridSpan w:val="2"/>
          </w:tcPr>
          <w:p w14:paraId="4DF727F8" w14:textId="4A9BE327" w:rsidR="00076F42" w:rsidRPr="00DB5B10" w:rsidRDefault="00076F42" w:rsidP="00A126A2"/>
        </w:tc>
        <w:tc>
          <w:tcPr>
            <w:tcW w:w="2227" w:type="dxa"/>
          </w:tcPr>
          <w:p w14:paraId="1DC5463D" w14:textId="5FDD9B12" w:rsidR="00076F42" w:rsidRPr="00DB5B10" w:rsidRDefault="00076F42" w:rsidP="00A126A2"/>
        </w:tc>
      </w:tr>
      <w:tr w:rsidR="00076F42" w:rsidRPr="00DB5B10" w14:paraId="14DDA784" w14:textId="77777777" w:rsidTr="00A126A2">
        <w:tc>
          <w:tcPr>
            <w:tcW w:w="2213" w:type="dxa"/>
          </w:tcPr>
          <w:p w14:paraId="70287D85" w14:textId="77777777" w:rsidR="00076F42" w:rsidRPr="004E32C4" w:rsidRDefault="00076F42" w:rsidP="00A126A2">
            <w:pPr>
              <w:rPr>
                <w:b/>
              </w:rPr>
            </w:pPr>
            <w:r w:rsidRPr="004E32C4">
              <w:rPr>
                <w:b/>
              </w:rPr>
              <w:t>Horario:</w:t>
            </w:r>
          </w:p>
        </w:tc>
        <w:tc>
          <w:tcPr>
            <w:tcW w:w="1856" w:type="dxa"/>
          </w:tcPr>
          <w:p w14:paraId="5C644D54" w14:textId="77777777" w:rsidR="00076F42" w:rsidRPr="00DB5B10" w:rsidRDefault="00076F42" w:rsidP="00A126A2">
            <w:pPr>
              <w:jc w:val="center"/>
            </w:pPr>
          </w:p>
        </w:tc>
        <w:tc>
          <w:tcPr>
            <w:tcW w:w="2418" w:type="dxa"/>
            <w:gridSpan w:val="2"/>
          </w:tcPr>
          <w:p w14:paraId="0EF76CA8" w14:textId="77777777" w:rsidR="00076F42" w:rsidRPr="00DB5B10" w:rsidRDefault="00076F42" w:rsidP="00A126A2">
            <w:pPr>
              <w:jc w:val="center"/>
            </w:pPr>
          </w:p>
        </w:tc>
        <w:tc>
          <w:tcPr>
            <w:tcW w:w="2227" w:type="dxa"/>
          </w:tcPr>
          <w:p w14:paraId="4510140A" w14:textId="77777777" w:rsidR="00076F42" w:rsidRPr="00DB5B10" w:rsidRDefault="00076F42" w:rsidP="00A126A2">
            <w:pPr>
              <w:jc w:val="center"/>
            </w:pPr>
          </w:p>
        </w:tc>
      </w:tr>
      <w:tr w:rsidR="00076F42" w:rsidRPr="00DB5B10" w14:paraId="6839F339" w14:textId="77777777" w:rsidTr="00A126A2">
        <w:tc>
          <w:tcPr>
            <w:tcW w:w="8714" w:type="dxa"/>
            <w:gridSpan w:val="5"/>
          </w:tcPr>
          <w:p w14:paraId="3FD8AF3C" w14:textId="621625A2" w:rsidR="00076F42" w:rsidRDefault="00076F42" w:rsidP="00A126A2">
            <w:pPr>
              <w:rPr>
                <w:b/>
              </w:rPr>
            </w:pPr>
            <w:r w:rsidRPr="004E32C4">
              <w:rPr>
                <w:b/>
              </w:rPr>
              <w:t>Metodología Docente:</w:t>
            </w:r>
          </w:p>
          <w:p w14:paraId="09B4851B" w14:textId="4A230CB2" w:rsidR="003F0064" w:rsidRDefault="003F0064" w:rsidP="00F349EF">
            <w:pPr>
              <w:jc w:val="both"/>
            </w:pPr>
            <w:r>
              <w:t>La metodología de la asignatura se enmarca en el modelo propio de la enseñanza a distancia del Máster en Seguridad, Paz y Conflictos Internacionales de la Universidad de Santiago de Compostela.</w:t>
            </w:r>
          </w:p>
          <w:p w14:paraId="3DAAF217" w14:textId="77777777" w:rsidR="003F0064" w:rsidRDefault="003F0064" w:rsidP="00F349EF">
            <w:pPr>
              <w:jc w:val="both"/>
            </w:pPr>
          </w:p>
          <w:p w14:paraId="06AEAA6C" w14:textId="2C41F6D7" w:rsidR="003F0064" w:rsidRDefault="003F0064" w:rsidP="00F349EF">
            <w:pPr>
              <w:jc w:val="both"/>
            </w:pPr>
            <w:r>
              <w:t xml:space="preserve">La asignatura se imparte entre los meses de </w:t>
            </w:r>
            <w:r w:rsidR="009960EB" w:rsidRPr="00FB2B85">
              <w:t>febrero</w:t>
            </w:r>
            <w:r w:rsidR="00E425B4" w:rsidRPr="00FB2B85">
              <w:t xml:space="preserve"> </w:t>
            </w:r>
            <w:r w:rsidRPr="00FB2B85">
              <w:t>y junio,</w:t>
            </w:r>
            <w:r>
              <w:t xml:space="preserve"> en la que el contacto entre los alumnos y  profesores se realizará de manera continua a través de los medios virtuales incorporados en el Aula Virtual de la Universidad de Santiago de Compostela, además del correo electrónico. </w:t>
            </w:r>
          </w:p>
          <w:p w14:paraId="1A6C2907" w14:textId="77777777" w:rsidR="003F0064" w:rsidRDefault="003F0064" w:rsidP="00F349EF">
            <w:pPr>
              <w:jc w:val="both"/>
            </w:pPr>
          </w:p>
          <w:p w14:paraId="0EC0FE2D" w14:textId="62091B36" w:rsidR="00182D0E" w:rsidRDefault="003F0064" w:rsidP="00F349EF">
            <w:pPr>
              <w:jc w:val="both"/>
            </w:pPr>
            <w:r>
              <w:t>El apoy</w:t>
            </w:r>
            <w:r w:rsidR="00182D0E">
              <w:t>o al alumno, a través del</w:t>
            </w:r>
            <w:r>
              <w:t xml:space="preserve"> </w:t>
            </w:r>
            <w:r w:rsidR="00182D0E">
              <w:t>correo electrónico tendrá como finalidad la resolución de dudas, orientación en la consecución de los objetivos pedagógicos de la m</w:t>
            </w:r>
            <w:r w:rsidR="00E425B4">
              <w:t>ateria, así como cualquier otro aspecto</w:t>
            </w:r>
            <w:r w:rsidR="00182D0E">
              <w:t xml:space="preserve"> </w:t>
            </w:r>
            <w:r w:rsidR="00E425B4">
              <w:t>relacionado</w:t>
            </w:r>
            <w:r w:rsidR="00182D0E">
              <w:t xml:space="preserve"> con el desarrollo de la misma.</w:t>
            </w:r>
          </w:p>
          <w:p w14:paraId="1C9505F6" w14:textId="77777777" w:rsidR="00182D0E" w:rsidRDefault="00182D0E" w:rsidP="00F349EF">
            <w:pPr>
              <w:jc w:val="both"/>
            </w:pPr>
          </w:p>
          <w:p w14:paraId="1265C2C8" w14:textId="636E96E9" w:rsidR="00E425B4" w:rsidRDefault="00182D0E" w:rsidP="00F349EF">
            <w:pPr>
              <w:jc w:val="both"/>
            </w:pPr>
            <w:r>
              <w:t>El trabajo del alumno para superar cada unidad didáctica, consistirá en la lectura de una serie de documentos proporcionados por los profesores, a partir de cuya asimilación, se podrá realizar de la actividad práctica de la unidad que consistirá en la realización de un análisis crítico.</w:t>
            </w:r>
            <w:r w:rsidR="006B6E4A">
              <w:t xml:space="preserve"> </w:t>
            </w:r>
          </w:p>
          <w:p w14:paraId="21A0DC5A" w14:textId="77777777" w:rsidR="00E425B4" w:rsidRDefault="00E425B4" w:rsidP="00F349EF">
            <w:pPr>
              <w:jc w:val="both"/>
            </w:pPr>
          </w:p>
          <w:p w14:paraId="3E8480A3" w14:textId="77777777" w:rsidR="00137990" w:rsidRDefault="006B6E4A" w:rsidP="00F349EF">
            <w:pPr>
              <w:jc w:val="both"/>
            </w:pPr>
            <w:r>
              <w:t>La selección de la bibliografía proporcionada por los docentes para cada una de las dos unidades didácticas en que se compone el curso,  está clasificada en “lectura obligatoria”</w:t>
            </w:r>
            <w:r w:rsidR="00137990">
              <w:t xml:space="preserve"> y “material de consulta”</w:t>
            </w:r>
            <w:r>
              <w:t>.</w:t>
            </w:r>
            <w:r w:rsidR="00137990">
              <w:t xml:space="preserve"> Las “lecturas obligatorias” constituyen el eje sobre el que el alumno habrá de construir el análisis crítico</w:t>
            </w:r>
            <w:r>
              <w:t xml:space="preserve"> </w:t>
            </w:r>
            <w:r w:rsidR="00137990">
              <w:t xml:space="preserve">de la unidad. La selección del “material de consulta” por parte de los docentes, debe entenderse como una herramienta de consulta y ampliación de las áreas tratadas en cada unidad. </w:t>
            </w:r>
            <w:r>
              <w:t>En cualquier caso, los docentes podrán orientar y proporcionar</w:t>
            </w:r>
            <w:r w:rsidR="00137990">
              <w:t xml:space="preserve"> material bibliográfico adicional relacionado</w:t>
            </w:r>
            <w:r>
              <w:t xml:space="preserve"> con la realización de los análisis críticos y el ensayo final.</w:t>
            </w:r>
          </w:p>
          <w:p w14:paraId="68E2D34C" w14:textId="77777777" w:rsidR="00137990" w:rsidRDefault="00137990" w:rsidP="00F349EF">
            <w:pPr>
              <w:jc w:val="both"/>
            </w:pPr>
          </w:p>
          <w:p w14:paraId="1C126957" w14:textId="5E64CC64" w:rsidR="00182D0E" w:rsidRDefault="00137990" w:rsidP="00F349EF">
            <w:pPr>
              <w:jc w:val="both"/>
            </w:pPr>
            <w:r>
              <w:t xml:space="preserve">Todo el material bibliográfico es accesible electrónicamente. </w:t>
            </w:r>
            <w:r w:rsidR="006B6E4A">
              <w:t xml:space="preserve">  </w:t>
            </w:r>
          </w:p>
          <w:p w14:paraId="6FC9A627" w14:textId="77777777" w:rsidR="0084388B" w:rsidRDefault="0084388B" w:rsidP="00F349EF">
            <w:pPr>
              <w:jc w:val="both"/>
            </w:pPr>
          </w:p>
          <w:p w14:paraId="25F823D3" w14:textId="492C5372" w:rsidR="0084388B" w:rsidRDefault="0084388B" w:rsidP="00F349EF">
            <w:pPr>
              <w:jc w:val="both"/>
            </w:pPr>
            <w:r>
              <w:t xml:space="preserve">La realización de un ensayo final tendrá como objetivo verificar la comprensión de </w:t>
            </w:r>
            <w:r w:rsidR="00137990">
              <w:t xml:space="preserve">los conocimientos adquiridos durante el desarrollo de la asignatura </w:t>
            </w:r>
            <w:r>
              <w:t>y</w:t>
            </w:r>
            <w:r w:rsidR="00137990">
              <w:t xml:space="preserve"> su puesta en valor a través de </w:t>
            </w:r>
            <w:r>
              <w:t>análisis</w:t>
            </w:r>
            <w:r w:rsidR="00137990">
              <w:t xml:space="preserve"> que incorpore un perfil marítimo</w:t>
            </w:r>
            <w:r>
              <w:t xml:space="preserve">. </w:t>
            </w:r>
          </w:p>
          <w:p w14:paraId="6D6305DE" w14:textId="74AFEFF2" w:rsidR="003F0064" w:rsidRDefault="003F0064" w:rsidP="00182D0E">
            <w:pPr>
              <w:tabs>
                <w:tab w:val="left" w:pos="2190"/>
              </w:tabs>
              <w:jc w:val="both"/>
            </w:pPr>
          </w:p>
          <w:p w14:paraId="16702B4D" w14:textId="2842636F" w:rsidR="00F349EF" w:rsidRPr="00F349EF" w:rsidRDefault="00F349EF" w:rsidP="00F349EF">
            <w:pPr>
              <w:jc w:val="both"/>
            </w:pPr>
          </w:p>
        </w:tc>
      </w:tr>
      <w:tr w:rsidR="00076F42" w:rsidRPr="00DB5B10" w14:paraId="1659F929" w14:textId="77777777" w:rsidTr="00A126A2">
        <w:tc>
          <w:tcPr>
            <w:tcW w:w="8714" w:type="dxa"/>
            <w:gridSpan w:val="5"/>
          </w:tcPr>
          <w:p w14:paraId="1234D223" w14:textId="77777777" w:rsidR="00076F42" w:rsidRPr="004E32C4" w:rsidRDefault="00076F42" w:rsidP="00A126A2">
            <w:pPr>
              <w:rPr>
                <w:b/>
              </w:rPr>
            </w:pPr>
            <w:r w:rsidRPr="004E32C4">
              <w:rPr>
                <w:b/>
              </w:rPr>
              <w:lastRenderedPageBreak/>
              <w:t>Objetivos, destrezas y competencias:</w:t>
            </w:r>
          </w:p>
          <w:p w14:paraId="0F6E48EF" w14:textId="290D1743" w:rsidR="00076F42" w:rsidRPr="00DB5B10" w:rsidRDefault="00076F42" w:rsidP="005C7FF4">
            <w:pPr>
              <w:jc w:val="both"/>
            </w:pPr>
            <w:r w:rsidRPr="004E32C4">
              <w:rPr>
                <w:b/>
              </w:rPr>
              <w:t>O-1:</w:t>
            </w:r>
            <w:r w:rsidR="00B66088">
              <w:t xml:space="preserve"> Comprensión de la importancia de los espacios marítimos para el normal desenvolvimiento de las actividades económicas y de los flujos de información.</w:t>
            </w:r>
          </w:p>
          <w:p w14:paraId="14F09F7D" w14:textId="62A3E62C" w:rsidR="00076F42" w:rsidRPr="00DB5B10" w:rsidRDefault="00076F42" w:rsidP="005C7FF4">
            <w:pPr>
              <w:jc w:val="both"/>
            </w:pPr>
            <w:r w:rsidRPr="004E32C4">
              <w:rPr>
                <w:b/>
              </w:rPr>
              <w:t>O-2:</w:t>
            </w:r>
            <w:r w:rsidR="00AE5226">
              <w:t xml:space="preserve"> </w:t>
            </w:r>
            <w:r w:rsidR="00B5350D">
              <w:t>Comprensión de lo que se ent</w:t>
            </w:r>
            <w:r w:rsidR="00AE5226">
              <w:t>iende por “Seguridad Marítima” así como el</w:t>
            </w:r>
            <w:r w:rsidR="00B5350D">
              <w:t xml:space="preserve"> conocimiento de los principales riesgos y amenazas asociados a dicho concepto.</w:t>
            </w:r>
          </w:p>
          <w:p w14:paraId="6E234DC2" w14:textId="7116245E" w:rsidR="00076F42" w:rsidRDefault="00076F42" w:rsidP="005C7FF4">
            <w:pPr>
              <w:jc w:val="both"/>
            </w:pPr>
            <w:r w:rsidRPr="004E32C4">
              <w:rPr>
                <w:b/>
              </w:rPr>
              <w:t>O-3:</w:t>
            </w:r>
            <w:r w:rsidR="00B5350D">
              <w:t xml:space="preserve"> Conocimiento de las principales </w:t>
            </w:r>
            <w:r w:rsidR="00137990">
              <w:t>aproximaciones contemporáneas en relación al poder marítimo y su relación en el proceso de configuración del orden internacional.</w:t>
            </w:r>
          </w:p>
          <w:p w14:paraId="5B6AF307" w14:textId="0E0BB74C" w:rsidR="00076F42" w:rsidRPr="00DB5B10" w:rsidRDefault="00076F42" w:rsidP="005C7FF4">
            <w:pPr>
              <w:jc w:val="both"/>
            </w:pPr>
            <w:r w:rsidRPr="004E32C4">
              <w:rPr>
                <w:b/>
              </w:rPr>
              <w:t>O-4:</w:t>
            </w:r>
            <w:r>
              <w:t xml:space="preserve"> </w:t>
            </w:r>
            <w:r w:rsidR="00B5350D">
              <w:t>Conocer los principales escenarios de crisis y tensión internacional de perfil marítimo.</w:t>
            </w:r>
          </w:p>
          <w:p w14:paraId="30FA2E95" w14:textId="2B7DCF7F" w:rsidR="00076F42" w:rsidRPr="00DB5B10" w:rsidRDefault="00076F42" w:rsidP="005C7FF4">
            <w:pPr>
              <w:jc w:val="both"/>
            </w:pPr>
            <w:r w:rsidRPr="004E32C4">
              <w:rPr>
                <w:b/>
              </w:rPr>
              <w:t>D-1:</w:t>
            </w:r>
            <w:r w:rsidR="00F905CC">
              <w:t xml:space="preserve"> Conocer la relevancia estratégica de la dimensión marítima en el anál</w:t>
            </w:r>
            <w:r w:rsidR="00137990">
              <w:t>isis de los intereses de los Estados</w:t>
            </w:r>
            <w:r>
              <w:t>.</w:t>
            </w:r>
            <w:r w:rsidR="00137990">
              <w:t xml:space="preserve"> Entender y conocer la importancia del ámbito marítimo como uno de los espacios comunes globales.</w:t>
            </w:r>
          </w:p>
          <w:p w14:paraId="08D9D835" w14:textId="3AAFB31B" w:rsidR="00076F42" w:rsidRPr="00DB5B10" w:rsidRDefault="00076F42" w:rsidP="005C7FF4">
            <w:pPr>
              <w:jc w:val="both"/>
            </w:pPr>
            <w:r w:rsidRPr="004E32C4">
              <w:rPr>
                <w:b/>
              </w:rPr>
              <w:t>D-2:</w:t>
            </w:r>
            <w:r w:rsidR="00DA61DE">
              <w:t xml:space="preserve"> I</w:t>
            </w:r>
            <w:r w:rsidR="00F905CC">
              <w:t>dentificación</w:t>
            </w:r>
            <w:r w:rsidR="00DA61DE">
              <w:t>, clasificación</w:t>
            </w:r>
            <w:r w:rsidR="00F905CC">
              <w:t xml:space="preserve"> y evaluación de los riesgos y amenazas</w:t>
            </w:r>
            <w:r w:rsidR="00DA61DE">
              <w:t xml:space="preserve"> circunscritos en el marco de la “seguridad marítima”.</w:t>
            </w:r>
            <w:r w:rsidR="00F905CC">
              <w:t xml:space="preserve"> </w:t>
            </w:r>
          </w:p>
          <w:p w14:paraId="28482712" w14:textId="3DAB7F7A" w:rsidR="00076F42" w:rsidRPr="00DB5B10" w:rsidRDefault="00076F42" w:rsidP="005C7FF4">
            <w:pPr>
              <w:jc w:val="both"/>
            </w:pPr>
            <w:r w:rsidRPr="004E32C4">
              <w:rPr>
                <w:b/>
              </w:rPr>
              <w:t>D-3:</w:t>
            </w:r>
            <w:r w:rsidR="00F905CC">
              <w:t xml:space="preserve"> </w:t>
            </w:r>
            <w:r w:rsidR="00556C2D">
              <w:t>A</w:t>
            </w:r>
            <w:r w:rsidR="00DA61DE">
              <w:t xml:space="preserve">proximaciones </w:t>
            </w:r>
            <w:r w:rsidR="00556C2D">
              <w:t xml:space="preserve">contemporáneas </w:t>
            </w:r>
            <w:r w:rsidR="00DA61DE">
              <w:t>de los actores internacionales a los espacios marítimos desde el punto de vista de la estrategia.</w:t>
            </w:r>
          </w:p>
          <w:p w14:paraId="730FB1C1" w14:textId="6F84F6A1" w:rsidR="00076F42" w:rsidRPr="00DB5B10" w:rsidRDefault="00076F42" w:rsidP="005C7FF4">
            <w:pPr>
              <w:jc w:val="both"/>
            </w:pPr>
            <w:r w:rsidRPr="004E32C4">
              <w:rPr>
                <w:b/>
              </w:rPr>
              <w:t>C-1:</w:t>
            </w:r>
            <w:r w:rsidR="00F905CC">
              <w:t xml:space="preserve"> </w:t>
            </w:r>
            <w:r w:rsidR="00DA61DE">
              <w:t>Identificación y evaluación de la relevancia estratégica de los intereses</w:t>
            </w:r>
            <w:r w:rsidR="00E43DDC">
              <w:t xml:space="preserve"> de los Estados </w:t>
            </w:r>
            <w:r w:rsidR="00DA61DE">
              <w:t>desde el punto de vista marítimo.</w:t>
            </w:r>
          </w:p>
          <w:p w14:paraId="31D4070A" w14:textId="5AF66524" w:rsidR="00076F42" w:rsidRDefault="00076F42" w:rsidP="005C7FF4">
            <w:pPr>
              <w:jc w:val="both"/>
            </w:pPr>
            <w:r w:rsidRPr="004E32C4">
              <w:rPr>
                <w:b/>
              </w:rPr>
              <w:t>C-2:</w:t>
            </w:r>
            <w:r w:rsidR="00F905CC">
              <w:t xml:space="preserve"> Estar en disposición de incorporar una perspectiva marítima en la realización de análisis de </w:t>
            </w:r>
            <w:r w:rsidR="00E43DDC">
              <w:t xml:space="preserve">crisis/ </w:t>
            </w:r>
            <w:r w:rsidR="00F905CC">
              <w:t>conflictos internacionales.</w:t>
            </w:r>
          </w:p>
          <w:p w14:paraId="2F4C1F4F" w14:textId="30E4667A" w:rsidR="00DA61DE" w:rsidRPr="00DA61DE" w:rsidRDefault="00DA61DE" w:rsidP="005C7FF4">
            <w:pPr>
              <w:jc w:val="both"/>
            </w:pPr>
            <w:r>
              <w:rPr>
                <w:b/>
              </w:rPr>
              <w:t xml:space="preserve">C-3: </w:t>
            </w:r>
            <w:r>
              <w:t>Conocimiento de los principales escenarios de crisis potenciales, manifiestas o futuras con un componente marítimo significativo.</w:t>
            </w:r>
          </w:p>
        </w:tc>
      </w:tr>
      <w:tr w:rsidR="00076F42" w:rsidRPr="00DB5B10" w14:paraId="7FD8AC06" w14:textId="77777777" w:rsidTr="00A126A2">
        <w:tc>
          <w:tcPr>
            <w:tcW w:w="8714" w:type="dxa"/>
            <w:gridSpan w:val="5"/>
          </w:tcPr>
          <w:p w14:paraId="2E6DFF36" w14:textId="4F163EF3" w:rsidR="00076F42" w:rsidRDefault="00076F42" w:rsidP="000F5172">
            <w:pPr>
              <w:rPr>
                <w:b/>
              </w:rPr>
            </w:pPr>
            <w:r w:rsidRPr="004E32C4">
              <w:rPr>
                <w:b/>
              </w:rPr>
              <w:t>Contenido:</w:t>
            </w:r>
          </w:p>
          <w:p w14:paraId="6395DE07" w14:textId="61A96CFE" w:rsidR="00B066D9" w:rsidRPr="00B066D9" w:rsidRDefault="00B066D9" w:rsidP="00EC2C12">
            <w:pPr>
              <w:pStyle w:val="Prrafodelista"/>
              <w:jc w:val="both"/>
              <w:rPr>
                <w:rFonts w:ascii="Calibri" w:hAnsi="Calibri"/>
              </w:rPr>
            </w:pPr>
          </w:p>
          <w:p w14:paraId="0ADB58A7" w14:textId="24FE0D80" w:rsidR="00B066D9" w:rsidRDefault="00265765" w:rsidP="00265765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alibri" w:hAnsi="Calibri"/>
              </w:rPr>
            </w:pPr>
            <w:r w:rsidRPr="00265765">
              <w:rPr>
                <w:rFonts w:ascii="Calibri" w:hAnsi="Calibri"/>
              </w:rPr>
              <w:t>Aproximación a la seguridad desde la mar: Dimensión marítima de la seguridad, globalización y conocimiento</w:t>
            </w:r>
          </w:p>
          <w:p w14:paraId="73E77671" w14:textId="77777777" w:rsidR="00EC2C12" w:rsidRDefault="00EC2C12" w:rsidP="00EC2C12">
            <w:pPr>
              <w:pStyle w:val="Prrafodelista"/>
              <w:jc w:val="both"/>
              <w:rPr>
                <w:rFonts w:ascii="Calibri" w:hAnsi="Calibri"/>
              </w:rPr>
            </w:pPr>
          </w:p>
          <w:p w14:paraId="7D5DF1C1" w14:textId="76271C40" w:rsidR="009E431F" w:rsidRDefault="00265765" w:rsidP="00265765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alibri" w:hAnsi="Calibri"/>
              </w:rPr>
            </w:pPr>
            <w:r w:rsidRPr="00265765">
              <w:rPr>
                <w:rFonts w:ascii="Calibri" w:hAnsi="Calibri"/>
              </w:rPr>
              <w:t>Aproximación a la seguridad en la mar: concepto, riesgos y amenazas</w:t>
            </w:r>
            <w:r>
              <w:rPr>
                <w:rFonts w:ascii="Calibri" w:hAnsi="Calibri"/>
              </w:rPr>
              <w:t>.</w:t>
            </w:r>
          </w:p>
          <w:p w14:paraId="2379C519" w14:textId="77777777" w:rsidR="00265765" w:rsidRPr="00265765" w:rsidRDefault="00265765" w:rsidP="00265765">
            <w:pPr>
              <w:pStyle w:val="Prrafodelista"/>
              <w:rPr>
                <w:rFonts w:ascii="Calibri" w:hAnsi="Calibri"/>
              </w:rPr>
            </w:pPr>
          </w:p>
          <w:p w14:paraId="1FC47702" w14:textId="6EB02277" w:rsidR="00265765" w:rsidRDefault="00265765" w:rsidP="00265765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alibri" w:hAnsi="Calibri"/>
              </w:rPr>
            </w:pPr>
            <w:r w:rsidRPr="00265765">
              <w:rPr>
                <w:rFonts w:ascii="Calibri" w:hAnsi="Calibri"/>
              </w:rPr>
              <w:t>Aproximación contemporánea a la reconfiguración del orden internacional en la mar.</w:t>
            </w:r>
          </w:p>
          <w:p w14:paraId="5573A82D" w14:textId="77777777" w:rsidR="00265765" w:rsidRPr="00265765" w:rsidRDefault="00265765" w:rsidP="00265765">
            <w:pPr>
              <w:jc w:val="both"/>
              <w:rPr>
                <w:rFonts w:ascii="Calibri" w:hAnsi="Calibri"/>
              </w:rPr>
            </w:pPr>
          </w:p>
          <w:p w14:paraId="266E5180" w14:textId="65F6B050" w:rsidR="00310F1A" w:rsidRPr="00310F1A" w:rsidRDefault="00310F1A" w:rsidP="00EC2C12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Real</w:t>
            </w:r>
            <w:r w:rsidR="0035523D">
              <w:rPr>
                <w:rFonts w:ascii="Calibri" w:hAnsi="Calibri"/>
              </w:rPr>
              <w:t>ización de un ensayo final que versará sobre alguno de los p</w:t>
            </w:r>
            <w:r w:rsidRPr="00310F1A">
              <w:rPr>
                <w:rFonts w:ascii="Calibri" w:hAnsi="Calibri"/>
              </w:rPr>
              <w:t>rincipale</w:t>
            </w:r>
            <w:r w:rsidR="00556C2D">
              <w:rPr>
                <w:rFonts w:ascii="Calibri" w:hAnsi="Calibri"/>
              </w:rPr>
              <w:t>s espacios de crisis presentes o</w:t>
            </w:r>
            <w:r w:rsidRPr="00310F1A">
              <w:rPr>
                <w:rFonts w:ascii="Calibri" w:hAnsi="Calibri"/>
              </w:rPr>
              <w:t xml:space="preserve"> futuro de perfil marítimo</w:t>
            </w:r>
            <w:r w:rsidR="00F328DE">
              <w:rPr>
                <w:rFonts w:ascii="Calibri" w:hAnsi="Calibri"/>
              </w:rPr>
              <w:t>,</w:t>
            </w:r>
            <w:r w:rsidR="00FA2B92">
              <w:rPr>
                <w:rFonts w:ascii="Calibri" w:hAnsi="Calibri"/>
              </w:rPr>
              <w:t xml:space="preserve"> o</w:t>
            </w:r>
            <w:r w:rsidR="00F328DE">
              <w:rPr>
                <w:rFonts w:ascii="Calibri" w:hAnsi="Calibri"/>
              </w:rPr>
              <w:t xml:space="preserve"> en torno a</w:t>
            </w:r>
            <w:r w:rsidR="00FA2B92">
              <w:rPr>
                <w:rFonts w:ascii="Calibri" w:hAnsi="Calibri"/>
              </w:rPr>
              <w:t xml:space="preserve"> una dinámica </w:t>
            </w:r>
            <w:r w:rsidR="00F328DE">
              <w:rPr>
                <w:rFonts w:ascii="Calibri" w:hAnsi="Calibri"/>
              </w:rPr>
              <w:t>concreta en materia de seguridad en el ámbito marítimo</w:t>
            </w:r>
            <w:r w:rsidRPr="00310F1A">
              <w:rPr>
                <w:rFonts w:ascii="Calibri" w:hAnsi="Calibri"/>
              </w:rPr>
              <w:t>.</w:t>
            </w:r>
          </w:p>
          <w:p w14:paraId="3A24F5B4" w14:textId="39095E34" w:rsidR="00B54CBA" w:rsidRPr="00B54CBA" w:rsidRDefault="00B54CBA" w:rsidP="00EC2C12">
            <w:pPr>
              <w:pStyle w:val="Prrafodelista"/>
              <w:jc w:val="both"/>
              <w:rPr>
                <w:rFonts w:ascii="Calibri" w:hAnsi="Calibri"/>
              </w:rPr>
            </w:pPr>
          </w:p>
          <w:p w14:paraId="6FC78599" w14:textId="77777777" w:rsidR="005C7FF4" w:rsidRDefault="005C7FF4" w:rsidP="009E431F">
            <w:pPr>
              <w:ind w:left="360"/>
              <w:jc w:val="both"/>
              <w:rPr>
                <w:rFonts w:ascii="Calibri" w:hAnsi="Calibri"/>
              </w:rPr>
            </w:pPr>
          </w:p>
          <w:p w14:paraId="545D3365" w14:textId="77777777" w:rsidR="00DA2592" w:rsidRDefault="00DA2592" w:rsidP="009E431F">
            <w:pPr>
              <w:ind w:left="360"/>
              <w:jc w:val="both"/>
              <w:rPr>
                <w:rFonts w:ascii="Calibri" w:hAnsi="Calibri"/>
              </w:rPr>
            </w:pPr>
          </w:p>
          <w:p w14:paraId="16898A6D" w14:textId="77777777" w:rsidR="00DA2592" w:rsidRDefault="00DA2592" w:rsidP="009E431F">
            <w:pPr>
              <w:ind w:left="360"/>
              <w:jc w:val="both"/>
              <w:rPr>
                <w:rFonts w:ascii="Calibri" w:hAnsi="Calibri"/>
              </w:rPr>
            </w:pPr>
          </w:p>
          <w:p w14:paraId="14B85D1C" w14:textId="1AB4C49B" w:rsidR="00DA2592" w:rsidRPr="009E431F" w:rsidRDefault="00DA2592" w:rsidP="00E43DDC">
            <w:pPr>
              <w:jc w:val="both"/>
              <w:rPr>
                <w:rFonts w:ascii="Calibri" w:hAnsi="Calibri"/>
              </w:rPr>
            </w:pPr>
          </w:p>
        </w:tc>
      </w:tr>
      <w:tr w:rsidR="00076F42" w:rsidRPr="00F328DE" w14:paraId="281FC11D" w14:textId="77777777" w:rsidTr="00A126A2">
        <w:tc>
          <w:tcPr>
            <w:tcW w:w="8714" w:type="dxa"/>
            <w:gridSpan w:val="5"/>
          </w:tcPr>
          <w:p w14:paraId="0445407C" w14:textId="77777777" w:rsidR="00DA2592" w:rsidRDefault="00DA2592" w:rsidP="00A126A2">
            <w:pPr>
              <w:rPr>
                <w:b/>
              </w:rPr>
            </w:pPr>
          </w:p>
          <w:p w14:paraId="141B38B1" w14:textId="2BA9B53A" w:rsidR="005C7FF4" w:rsidRDefault="00076F42" w:rsidP="00A126A2">
            <w:pPr>
              <w:rPr>
                <w:b/>
              </w:rPr>
            </w:pPr>
            <w:r w:rsidRPr="004E32C4">
              <w:rPr>
                <w:b/>
              </w:rPr>
              <w:t>Bibliografía</w:t>
            </w:r>
            <w:r w:rsidR="006B6E4A">
              <w:rPr>
                <w:b/>
              </w:rPr>
              <w:t xml:space="preserve"> básica</w:t>
            </w:r>
            <w:r w:rsidRPr="004E32C4">
              <w:rPr>
                <w:b/>
              </w:rPr>
              <w:t>:</w:t>
            </w:r>
          </w:p>
          <w:p w14:paraId="5270DF8D" w14:textId="77777777" w:rsidR="00091562" w:rsidRDefault="00091562" w:rsidP="00091562">
            <w:pPr>
              <w:jc w:val="both"/>
              <w:rPr>
                <w:rFonts w:ascii="Calibri" w:hAnsi="Calibri" w:cs="Times"/>
                <w:lang w:val="es-ES"/>
              </w:rPr>
            </w:pPr>
          </w:p>
          <w:p w14:paraId="5DF139BB" w14:textId="288D15E7" w:rsidR="00020D36" w:rsidRDefault="00ED19EB" w:rsidP="00020D36">
            <w:pPr>
              <w:jc w:val="both"/>
              <w:rPr>
                <w:rFonts w:ascii="Calibri" w:hAnsi="Calibri" w:cs="Times"/>
              </w:rPr>
            </w:pPr>
            <w:r w:rsidRPr="00ED19EB">
              <w:rPr>
                <w:rFonts w:ascii="Calibri" w:hAnsi="Calibri" w:cs="Times"/>
                <w:i/>
              </w:rPr>
              <w:t>Artículos,</w:t>
            </w:r>
            <w:r w:rsidR="006B6E4A">
              <w:rPr>
                <w:rFonts w:ascii="Calibri" w:hAnsi="Calibri" w:cs="Times"/>
                <w:i/>
              </w:rPr>
              <w:t xml:space="preserve"> ponencias y obras colectivas. Todas las referencias son accesibles </w:t>
            </w:r>
            <w:r w:rsidR="00DA2592">
              <w:rPr>
                <w:rFonts w:ascii="Calibri" w:hAnsi="Calibri" w:cs="Times"/>
                <w:i/>
              </w:rPr>
              <w:t>electrónicamente</w:t>
            </w:r>
            <w:r w:rsidR="006B6E4A">
              <w:rPr>
                <w:rFonts w:ascii="Calibri" w:hAnsi="Calibri" w:cs="Times"/>
                <w:i/>
              </w:rPr>
              <w:t>.</w:t>
            </w:r>
          </w:p>
          <w:p w14:paraId="7B3C54D2" w14:textId="23FBF203" w:rsidR="000B4E2F" w:rsidRPr="00DF47D0" w:rsidRDefault="000B4E2F" w:rsidP="004543A0">
            <w:pPr>
              <w:jc w:val="both"/>
              <w:rPr>
                <w:rFonts w:ascii="Calibri" w:hAnsi="Calibri" w:cs="Times"/>
                <w:lang w:val="es-ES"/>
              </w:rPr>
            </w:pPr>
          </w:p>
          <w:p w14:paraId="548EF153" w14:textId="4111B2A1" w:rsidR="000B4E2F" w:rsidRDefault="00FB2B85" w:rsidP="00FB2B85">
            <w:pPr>
              <w:ind w:left="738" w:hanging="709"/>
              <w:jc w:val="both"/>
              <w:rPr>
                <w:rFonts w:ascii="Calibri" w:hAnsi="Calibri" w:cs="Times"/>
                <w:lang w:val="es-ES"/>
              </w:rPr>
            </w:pPr>
            <w:r>
              <w:rPr>
                <w:rFonts w:ascii="Calibri" w:hAnsi="Calibri" w:cs="Times"/>
                <w:lang w:val="es-ES"/>
              </w:rPr>
              <w:t>AA.VV.</w:t>
            </w:r>
            <w:r w:rsidR="000B4E2F" w:rsidRPr="00ED19EB">
              <w:rPr>
                <w:rFonts w:ascii="Calibri" w:hAnsi="Calibri" w:cs="Times"/>
                <w:lang w:val="es-ES"/>
              </w:rPr>
              <w:t xml:space="preserve">(2017) “La mar motor económico de España. Reseña VII Jornadas de Pensamiento Naval” En </w:t>
            </w:r>
            <w:r w:rsidR="000B4E2F" w:rsidRPr="00E43DDC">
              <w:rPr>
                <w:rFonts w:ascii="Calibri" w:hAnsi="Calibri" w:cs="Times"/>
                <w:i/>
                <w:lang w:val="es-ES"/>
              </w:rPr>
              <w:t>Cuadernos de Pensamiento Naval</w:t>
            </w:r>
            <w:r w:rsidR="000B4E2F" w:rsidRPr="00ED19EB">
              <w:rPr>
                <w:rFonts w:ascii="Calibri" w:hAnsi="Calibri" w:cs="Times"/>
                <w:lang w:val="es-ES"/>
              </w:rPr>
              <w:t>.</w:t>
            </w:r>
            <w:r w:rsidR="00E43DDC">
              <w:rPr>
                <w:rFonts w:ascii="Calibri" w:hAnsi="Calibri" w:cs="Times"/>
                <w:lang w:val="es-ES"/>
              </w:rPr>
              <w:t xml:space="preserve"> Nº 23, 2º Semestre.</w:t>
            </w:r>
            <w:r w:rsidR="000B4E2F" w:rsidRPr="00ED19EB">
              <w:rPr>
                <w:rFonts w:ascii="Calibri" w:hAnsi="Calibri" w:cs="Times"/>
                <w:lang w:val="es-ES"/>
              </w:rPr>
              <w:t xml:space="preserve"> Escuela de Guerra Naval. Armada Española.</w:t>
            </w:r>
            <w:r w:rsidR="00265765">
              <w:rPr>
                <w:rFonts w:ascii="Calibri" w:hAnsi="Calibri" w:cs="Times"/>
                <w:lang w:val="es-ES"/>
              </w:rPr>
              <w:t xml:space="preserve"> Ministerio de Defensa. Madrid.</w:t>
            </w:r>
          </w:p>
          <w:p w14:paraId="25D5D7F9" w14:textId="77777777" w:rsidR="00DF47D0" w:rsidRDefault="00DF47D0" w:rsidP="001A6011">
            <w:pPr>
              <w:ind w:left="709" w:hanging="709"/>
              <w:jc w:val="both"/>
              <w:rPr>
                <w:rFonts w:ascii="Calibri" w:hAnsi="Calibri" w:cs="Times"/>
                <w:lang w:val="es-ES"/>
              </w:rPr>
            </w:pPr>
          </w:p>
          <w:p w14:paraId="0ACCF2DE" w14:textId="77777777" w:rsidR="000B4E2F" w:rsidRDefault="000B4E2F" w:rsidP="001A6011">
            <w:pPr>
              <w:ind w:left="709" w:hanging="709"/>
              <w:jc w:val="both"/>
              <w:rPr>
                <w:rFonts w:ascii="Calibri" w:hAnsi="Calibri" w:cs="Times"/>
                <w:lang w:val="en-US"/>
              </w:rPr>
            </w:pPr>
            <w:r w:rsidRPr="00091562">
              <w:rPr>
                <w:rFonts w:ascii="Calibri" w:hAnsi="Calibri" w:cs="Times"/>
                <w:lang w:val="es-ES"/>
              </w:rPr>
              <w:t xml:space="preserve">AAVV. (2014) </w:t>
            </w:r>
            <w:r w:rsidRPr="00760F07">
              <w:rPr>
                <w:rFonts w:ascii="Calibri" w:hAnsi="Calibri" w:cs="Times"/>
                <w:i/>
                <w:lang w:val="es-ES"/>
              </w:rPr>
              <w:t>La piratería emergente en el Golfo de Guinea. Estrategia de la UE para el Golfo de Guinea.</w:t>
            </w:r>
            <w:r w:rsidRPr="00091562">
              <w:rPr>
                <w:rFonts w:ascii="Calibri" w:hAnsi="Calibri" w:cs="Times"/>
                <w:lang w:val="es-ES"/>
              </w:rPr>
              <w:t xml:space="preserve"> Monografía nº143. Escuela Superior de las Fuerzas Armadas. Ministerio de Defensa. </w:t>
            </w:r>
            <w:r w:rsidRPr="00F328DE">
              <w:rPr>
                <w:rFonts w:ascii="Calibri" w:hAnsi="Calibri" w:cs="Times"/>
                <w:lang w:val="en-US"/>
              </w:rPr>
              <w:t>Madrid.</w:t>
            </w:r>
          </w:p>
          <w:p w14:paraId="285A28A4" w14:textId="77777777" w:rsidR="00DF47D0" w:rsidRDefault="00DF47D0" w:rsidP="001A6011">
            <w:pPr>
              <w:ind w:left="709" w:hanging="709"/>
              <w:jc w:val="both"/>
              <w:rPr>
                <w:rFonts w:ascii="Calibri" w:hAnsi="Calibri" w:cs="Times"/>
                <w:lang w:val="en-US"/>
              </w:rPr>
            </w:pPr>
          </w:p>
          <w:p w14:paraId="738DEFD5" w14:textId="685ACE8D" w:rsidR="000B4E2F" w:rsidRDefault="000B4E2F" w:rsidP="001A6011">
            <w:pPr>
              <w:ind w:left="709" w:hanging="709"/>
              <w:jc w:val="both"/>
              <w:rPr>
                <w:rFonts w:ascii="Calibri" w:hAnsi="Calibri" w:cs="Times"/>
                <w:lang w:val="es-ES"/>
              </w:rPr>
            </w:pPr>
            <w:r w:rsidRPr="00556C2D">
              <w:rPr>
                <w:rFonts w:ascii="Calibri" w:hAnsi="Calibri" w:cs="Times"/>
                <w:lang w:val="en-US"/>
              </w:rPr>
              <w:t>ANDREAS, John A. (2016) “</w:t>
            </w:r>
            <w:r w:rsidR="00C46097">
              <w:rPr>
                <w:rFonts w:ascii="Calibri" w:hAnsi="Calibri" w:cs="Times"/>
                <w:lang w:val="en-US"/>
              </w:rPr>
              <w:t xml:space="preserve">Introduction. </w:t>
            </w:r>
            <w:r w:rsidRPr="00556C2D">
              <w:rPr>
                <w:rFonts w:ascii="Calibri" w:hAnsi="Calibri" w:cs="Times"/>
                <w:lang w:val="en-US"/>
              </w:rPr>
              <w:t xml:space="preserve">The Quest of Maritime Supremacy” </w:t>
            </w:r>
            <w:r w:rsidRPr="002A50F7">
              <w:rPr>
                <w:rFonts w:ascii="Calibri" w:hAnsi="Calibri" w:cs="Times"/>
                <w:i/>
                <w:lang w:val="en-US"/>
              </w:rPr>
              <w:t xml:space="preserve">Whitehall Papers. </w:t>
            </w:r>
            <w:r w:rsidRPr="00556C2D">
              <w:rPr>
                <w:rFonts w:ascii="Calibri" w:hAnsi="Calibri" w:cs="Times"/>
                <w:lang w:val="es-ES"/>
              </w:rPr>
              <w:t xml:space="preserve">Vol. 86 - </w:t>
            </w:r>
            <w:proofErr w:type="spellStart"/>
            <w:r w:rsidRPr="00556C2D">
              <w:rPr>
                <w:rFonts w:ascii="Calibri" w:hAnsi="Calibri" w:cs="Times"/>
                <w:lang w:val="es-ES"/>
              </w:rPr>
              <w:t>Issue</w:t>
            </w:r>
            <w:proofErr w:type="spellEnd"/>
            <w:r w:rsidRPr="00556C2D">
              <w:rPr>
                <w:rFonts w:ascii="Calibri" w:hAnsi="Calibri" w:cs="Times"/>
                <w:lang w:val="es-ES"/>
              </w:rPr>
              <w:t xml:space="preserve"> 1. Royal </w:t>
            </w:r>
            <w:proofErr w:type="spellStart"/>
            <w:r w:rsidRPr="00556C2D">
              <w:rPr>
                <w:rFonts w:ascii="Calibri" w:hAnsi="Calibri" w:cs="Times"/>
                <w:lang w:val="es-ES"/>
              </w:rPr>
              <w:t>Un</w:t>
            </w:r>
            <w:r w:rsidR="00DF47D0">
              <w:rPr>
                <w:rFonts w:ascii="Calibri" w:hAnsi="Calibri" w:cs="Times"/>
                <w:lang w:val="es-ES"/>
              </w:rPr>
              <w:t>ited</w:t>
            </w:r>
            <w:proofErr w:type="spellEnd"/>
            <w:r w:rsidR="00DF47D0">
              <w:rPr>
                <w:rFonts w:ascii="Calibri" w:hAnsi="Calibri" w:cs="Times"/>
                <w:lang w:val="es-ES"/>
              </w:rPr>
              <w:t xml:space="preserve"> </w:t>
            </w:r>
            <w:proofErr w:type="spellStart"/>
            <w:r w:rsidR="00DF47D0">
              <w:rPr>
                <w:rFonts w:ascii="Calibri" w:hAnsi="Calibri" w:cs="Times"/>
                <w:lang w:val="es-ES"/>
              </w:rPr>
              <w:t>Ser</w:t>
            </w:r>
            <w:r w:rsidR="00265765">
              <w:rPr>
                <w:rFonts w:ascii="Calibri" w:hAnsi="Calibri" w:cs="Times"/>
                <w:lang w:val="es-ES"/>
              </w:rPr>
              <w:t>vices</w:t>
            </w:r>
            <w:proofErr w:type="spellEnd"/>
            <w:r w:rsidR="00265765">
              <w:rPr>
                <w:rFonts w:ascii="Calibri" w:hAnsi="Calibri" w:cs="Times"/>
                <w:lang w:val="es-ES"/>
              </w:rPr>
              <w:t xml:space="preserve"> </w:t>
            </w:r>
            <w:proofErr w:type="spellStart"/>
            <w:r w:rsidR="00265765">
              <w:rPr>
                <w:rFonts w:ascii="Calibri" w:hAnsi="Calibri" w:cs="Times"/>
                <w:lang w:val="es-ES"/>
              </w:rPr>
              <w:t>Institute</w:t>
            </w:r>
            <w:proofErr w:type="spellEnd"/>
            <w:r w:rsidR="00265765">
              <w:rPr>
                <w:rFonts w:ascii="Calibri" w:hAnsi="Calibri" w:cs="Times"/>
                <w:lang w:val="es-ES"/>
              </w:rPr>
              <w:t>, London</w:t>
            </w:r>
            <w:r w:rsidR="00DF47D0">
              <w:rPr>
                <w:rFonts w:ascii="Calibri" w:hAnsi="Calibri" w:cs="Times"/>
                <w:lang w:val="es-ES"/>
              </w:rPr>
              <w:t>.</w:t>
            </w:r>
          </w:p>
          <w:p w14:paraId="2EA91A13" w14:textId="77777777" w:rsidR="00DF47D0" w:rsidRDefault="00DF47D0" w:rsidP="001A6011">
            <w:pPr>
              <w:ind w:left="709" w:hanging="709"/>
              <w:jc w:val="both"/>
              <w:rPr>
                <w:rFonts w:ascii="Calibri" w:hAnsi="Calibri" w:cs="Times"/>
                <w:lang w:val="es-ES"/>
              </w:rPr>
            </w:pPr>
          </w:p>
          <w:p w14:paraId="2736BFA2" w14:textId="2E6F9473" w:rsidR="000B4E2F" w:rsidRDefault="000B4E2F" w:rsidP="001A6011">
            <w:pPr>
              <w:ind w:left="709" w:hanging="709"/>
              <w:jc w:val="both"/>
              <w:rPr>
                <w:rFonts w:ascii="Calibri" w:hAnsi="Calibri" w:cs="Times"/>
                <w:lang w:val="es-ES"/>
              </w:rPr>
            </w:pPr>
            <w:r w:rsidRPr="00556C2D">
              <w:rPr>
                <w:rFonts w:ascii="Calibri" w:hAnsi="Calibri" w:cs="Times"/>
                <w:lang w:val="es-ES"/>
              </w:rPr>
              <w:t xml:space="preserve">BAUZÁ ABRIL, Bartolomé (2017) “El Índico Occidental: un esplendor fallido”. En AA.VV (2018) </w:t>
            </w:r>
            <w:r w:rsidRPr="00556C2D">
              <w:rPr>
                <w:rFonts w:ascii="Calibri" w:hAnsi="Calibri" w:cs="Times"/>
                <w:i/>
                <w:lang w:val="es-ES"/>
              </w:rPr>
              <w:t>Mares violentos</w:t>
            </w:r>
            <w:r w:rsidRPr="00556C2D">
              <w:rPr>
                <w:rFonts w:ascii="Calibri" w:hAnsi="Calibri" w:cs="Times"/>
                <w:lang w:val="es-ES"/>
              </w:rPr>
              <w:t>. Documentos del Instituto Español de Estudios Estra</w:t>
            </w:r>
            <w:r w:rsidR="00DF47D0">
              <w:rPr>
                <w:rFonts w:ascii="Calibri" w:hAnsi="Calibri" w:cs="Times"/>
                <w:lang w:val="es-ES"/>
              </w:rPr>
              <w:t>tégicos. Nº 07/2017. Instituto Español de Estudios Estratégicos</w:t>
            </w:r>
            <w:r w:rsidRPr="00556C2D">
              <w:rPr>
                <w:rFonts w:ascii="Calibri" w:hAnsi="Calibri" w:cs="Times"/>
                <w:lang w:val="es-ES"/>
              </w:rPr>
              <w:t>. Ministeri</w:t>
            </w:r>
            <w:r w:rsidR="00265765">
              <w:rPr>
                <w:rFonts w:ascii="Calibri" w:hAnsi="Calibri" w:cs="Times"/>
                <w:lang w:val="es-ES"/>
              </w:rPr>
              <w:t>o de Defensa. Madrid</w:t>
            </w:r>
            <w:r w:rsidRPr="00556C2D">
              <w:rPr>
                <w:rFonts w:ascii="Calibri" w:hAnsi="Calibri" w:cs="Times"/>
                <w:lang w:val="es-ES"/>
              </w:rPr>
              <w:t>.</w:t>
            </w:r>
          </w:p>
          <w:p w14:paraId="234F23B6" w14:textId="77777777" w:rsidR="00DF47D0" w:rsidRDefault="00DF47D0" w:rsidP="001A6011">
            <w:pPr>
              <w:ind w:left="709" w:hanging="709"/>
              <w:jc w:val="both"/>
              <w:rPr>
                <w:rFonts w:ascii="Calibri" w:hAnsi="Calibri" w:cs="Times"/>
                <w:lang w:val="es-ES"/>
              </w:rPr>
            </w:pPr>
          </w:p>
          <w:p w14:paraId="7A626A10" w14:textId="2C2C69CC" w:rsidR="000B4E2F" w:rsidRDefault="000B4E2F" w:rsidP="001A6011">
            <w:pPr>
              <w:ind w:left="709" w:hanging="709"/>
              <w:jc w:val="both"/>
              <w:rPr>
                <w:rFonts w:ascii="Calibri" w:hAnsi="Calibri" w:cs="Times"/>
                <w:lang w:val="es-ES"/>
              </w:rPr>
            </w:pPr>
            <w:r w:rsidRPr="00760F07">
              <w:rPr>
                <w:rFonts w:ascii="Calibri" w:hAnsi="Calibri" w:cs="Times"/>
                <w:lang w:val="es-ES"/>
              </w:rPr>
              <w:t xml:space="preserve">DELAGE, Fernando (2017) “Disputas marítimas en Asia Oriental: la expansión estratégica de la República Popular China. En AA.VV (2018) </w:t>
            </w:r>
            <w:r w:rsidRPr="00760F07">
              <w:rPr>
                <w:rFonts w:ascii="Calibri" w:hAnsi="Calibri" w:cs="Times"/>
                <w:i/>
                <w:lang w:val="es-ES"/>
              </w:rPr>
              <w:t>Mares violentos</w:t>
            </w:r>
            <w:r w:rsidRPr="00760F07">
              <w:rPr>
                <w:rFonts w:ascii="Calibri" w:hAnsi="Calibri" w:cs="Times"/>
                <w:lang w:val="es-ES"/>
              </w:rPr>
              <w:t>. Documentos del Instituto Español</w:t>
            </w:r>
            <w:r w:rsidR="00DF47D0">
              <w:rPr>
                <w:rFonts w:ascii="Calibri" w:hAnsi="Calibri" w:cs="Times"/>
                <w:lang w:val="es-ES"/>
              </w:rPr>
              <w:t xml:space="preserve"> de Estudios Estratégicos. Nº 07/2017. Instituto Español de Estudios Estratégicos</w:t>
            </w:r>
            <w:r w:rsidRPr="00760F07">
              <w:rPr>
                <w:rFonts w:ascii="Calibri" w:hAnsi="Calibri" w:cs="Times"/>
                <w:lang w:val="es-ES"/>
              </w:rPr>
              <w:t>. Minister</w:t>
            </w:r>
            <w:r w:rsidR="00265765">
              <w:rPr>
                <w:rFonts w:ascii="Calibri" w:hAnsi="Calibri" w:cs="Times"/>
                <w:lang w:val="es-ES"/>
              </w:rPr>
              <w:t>io de Defensa. Madrid</w:t>
            </w:r>
            <w:r w:rsidRPr="00760F07">
              <w:rPr>
                <w:rFonts w:ascii="Calibri" w:hAnsi="Calibri" w:cs="Times"/>
                <w:lang w:val="es-ES"/>
              </w:rPr>
              <w:t>.</w:t>
            </w:r>
          </w:p>
          <w:p w14:paraId="397D9F25" w14:textId="77777777" w:rsidR="00DF47D0" w:rsidRDefault="00DF47D0" w:rsidP="001A6011">
            <w:pPr>
              <w:ind w:left="709" w:hanging="709"/>
              <w:jc w:val="both"/>
              <w:rPr>
                <w:rFonts w:ascii="Calibri" w:hAnsi="Calibri" w:cs="Times"/>
                <w:lang w:val="es-ES"/>
              </w:rPr>
            </w:pPr>
          </w:p>
          <w:p w14:paraId="2C8BDB34" w14:textId="3B70499F" w:rsidR="000B4E2F" w:rsidRDefault="000B4E2F" w:rsidP="001A6011">
            <w:pPr>
              <w:ind w:left="709" w:hanging="709"/>
              <w:jc w:val="both"/>
              <w:rPr>
                <w:rFonts w:ascii="Calibri" w:hAnsi="Calibri" w:cs="Times"/>
                <w:lang w:val="es-ES"/>
              </w:rPr>
            </w:pPr>
            <w:r w:rsidRPr="00712C34">
              <w:rPr>
                <w:rFonts w:ascii="Calibri" w:hAnsi="Calibri" w:cs="Times"/>
                <w:lang w:val="es-ES"/>
              </w:rPr>
              <w:t xml:space="preserve">DÍAZ DEL RÍO JAÚDENES, Eugenio (2017) “De las musas al teatro. Reflexiones sobre el terrorismo en el ámbito marítimo.” </w:t>
            </w:r>
            <w:r w:rsidRPr="00760F07">
              <w:rPr>
                <w:rFonts w:ascii="Calibri" w:hAnsi="Calibri" w:cs="Times"/>
                <w:i/>
                <w:lang w:val="es-ES"/>
              </w:rPr>
              <w:t>Revista General de Marina</w:t>
            </w:r>
            <w:r w:rsidRPr="00712C34">
              <w:rPr>
                <w:rFonts w:ascii="Calibri" w:hAnsi="Calibri" w:cs="Times"/>
                <w:lang w:val="es-ES"/>
              </w:rPr>
              <w:t>. Tomo 273, Arma</w:t>
            </w:r>
            <w:r w:rsidR="00265765">
              <w:rPr>
                <w:rFonts w:ascii="Calibri" w:hAnsi="Calibri" w:cs="Times"/>
                <w:lang w:val="es-ES"/>
              </w:rPr>
              <w:t>da Española, Madrid</w:t>
            </w:r>
            <w:r w:rsidRPr="00712C34">
              <w:rPr>
                <w:rFonts w:ascii="Calibri" w:hAnsi="Calibri" w:cs="Times"/>
                <w:lang w:val="es-ES"/>
              </w:rPr>
              <w:t>.</w:t>
            </w:r>
          </w:p>
          <w:p w14:paraId="2E19CBB8" w14:textId="77777777" w:rsidR="00DF47D0" w:rsidRDefault="00DF47D0" w:rsidP="001A6011">
            <w:pPr>
              <w:ind w:left="709" w:hanging="709"/>
              <w:jc w:val="both"/>
              <w:rPr>
                <w:rFonts w:ascii="Calibri" w:hAnsi="Calibri" w:cs="Times"/>
                <w:lang w:val="es-ES"/>
              </w:rPr>
            </w:pPr>
          </w:p>
          <w:p w14:paraId="0C65293E" w14:textId="71838BFE" w:rsidR="000B4E2F" w:rsidRDefault="000B4E2F" w:rsidP="001A6011">
            <w:pPr>
              <w:ind w:left="709" w:hanging="709"/>
              <w:jc w:val="both"/>
              <w:rPr>
                <w:rFonts w:ascii="Calibri" w:hAnsi="Calibri" w:cs="Times"/>
                <w:lang w:val="es-ES"/>
              </w:rPr>
            </w:pPr>
            <w:r w:rsidRPr="00712C34">
              <w:rPr>
                <w:rFonts w:ascii="Calibri" w:hAnsi="Calibri" w:cs="Times"/>
                <w:lang w:val="es-ES"/>
              </w:rPr>
              <w:t xml:space="preserve">ECHEVARRÍA, Carlos (2017) “El empleo del mar por las organizaciones terroristas.” </w:t>
            </w:r>
            <w:r w:rsidRPr="00760F07">
              <w:rPr>
                <w:rFonts w:ascii="Calibri" w:hAnsi="Calibri" w:cs="Times"/>
                <w:i/>
                <w:lang w:val="es-ES"/>
              </w:rPr>
              <w:t>Documentos del Instituto E</w:t>
            </w:r>
            <w:r w:rsidR="00DF47D0">
              <w:rPr>
                <w:rFonts w:ascii="Calibri" w:hAnsi="Calibri" w:cs="Times"/>
                <w:i/>
                <w:lang w:val="es-ES"/>
              </w:rPr>
              <w:t>spañol de Estudios Estratégicos</w:t>
            </w:r>
            <w:r w:rsidRPr="00712C34">
              <w:rPr>
                <w:rFonts w:ascii="Calibri" w:hAnsi="Calibri" w:cs="Times"/>
                <w:lang w:val="es-ES"/>
              </w:rPr>
              <w:t>. Nº 131/2017. I</w:t>
            </w:r>
            <w:r w:rsidR="00DF47D0">
              <w:rPr>
                <w:rFonts w:ascii="Calibri" w:hAnsi="Calibri" w:cs="Times"/>
                <w:lang w:val="es-ES"/>
              </w:rPr>
              <w:t xml:space="preserve">nstituto </w:t>
            </w:r>
            <w:r w:rsidRPr="00712C34">
              <w:rPr>
                <w:rFonts w:ascii="Calibri" w:hAnsi="Calibri" w:cs="Times"/>
                <w:lang w:val="es-ES"/>
              </w:rPr>
              <w:t>E</w:t>
            </w:r>
            <w:r w:rsidR="00DF47D0">
              <w:rPr>
                <w:rFonts w:ascii="Calibri" w:hAnsi="Calibri" w:cs="Times"/>
                <w:lang w:val="es-ES"/>
              </w:rPr>
              <w:t xml:space="preserve">spañol de </w:t>
            </w:r>
            <w:r w:rsidRPr="00712C34">
              <w:rPr>
                <w:rFonts w:ascii="Calibri" w:hAnsi="Calibri" w:cs="Times"/>
                <w:lang w:val="es-ES"/>
              </w:rPr>
              <w:t>E</w:t>
            </w:r>
            <w:r w:rsidR="00DF47D0">
              <w:rPr>
                <w:rFonts w:ascii="Calibri" w:hAnsi="Calibri" w:cs="Times"/>
                <w:lang w:val="es-ES"/>
              </w:rPr>
              <w:t xml:space="preserve">studios </w:t>
            </w:r>
            <w:r w:rsidRPr="00712C34">
              <w:rPr>
                <w:rFonts w:ascii="Calibri" w:hAnsi="Calibri" w:cs="Times"/>
                <w:lang w:val="es-ES"/>
              </w:rPr>
              <w:t>E</w:t>
            </w:r>
            <w:r w:rsidR="00DF47D0">
              <w:rPr>
                <w:rFonts w:ascii="Calibri" w:hAnsi="Calibri" w:cs="Times"/>
                <w:lang w:val="es-ES"/>
              </w:rPr>
              <w:t>stratégicos</w:t>
            </w:r>
            <w:r w:rsidRPr="00712C34">
              <w:rPr>
                <w:rFonts w:ascii="Calibri" w:hAnsi="Calibri" w:cs="Times"/>
                <w:lang w:val="es-ES"/>
              </w:rPr>
              <w:t>. Minister</w:t>
            </w:r>
            <w:r w:rsidR="00265765">
              <w:rPr>
                <w:rFonts w:ascii="Calibri" w:hAnsi="Calibri" w:cs="Times"/>
                <w:lang w:val="es-ES"/>
              </w:rPr>
              <w:t>io de Defensa, Madrid</w:t>
            </w:r>
            <w:r w:rsidRPr="00712C34">
              <w:rPr>
                <w:rFonts w:ascii="Calibri" w:hAnsi="Calibri" w:cs="Times"/>
                <w:lang w:val="es-ES"/>
              </w:rPr>
              <w:t>.</w:t>
            </w:r>
          </w:p>
          <w:p w14:paraId="27DB3E94" w14:textId="77777777" w:rsidR="00DF47D0" w:rsidRDefault="00DF47D0" w:rsidP="001A6011">
            <w:pPr>
              <w:ind w:left="709" w:hanging="709"/>
              <w:jc w:val="both"/>
              <w:rPr>
                <w:rFonts w:ascii="Calibri" w:hAnsi="Calibri" w:cs="Times"/>
                <w:lang w:val="es-ES"/>
              </w:rPr>
            </w:pPr>
          </w:p>
          <w:p w14:paraId="1FEBF0B7" w14:textId="5E9E8EBA" w:rsidR="000B4E2F" w:rsidRDefault="000B4E2F" w:rsidP="001A6011">
            <w:pPr>
              <w:ind w:left="709" w:hanging="709"/>
              <w:jc w:val="both"/>
              <w:rPr>
                <w:rFonts w:ascii="Calibri" w:hAnsi="Calibri" w:cs="Times"/>
                <w:lang w:val="es-ES"/>
              </w:rPr>
            </w:pPr>
            <w:r w:rsidRPr="00760F07">
              <w:rPr>
                <w:rFonts w:ascii="Calibri" w:hAnsi="Calibri" w:cs="Times"/>
                <w:lang w:val="es-ES"/>
              </w:rPr>
              <w:t xml:space="preserve">FERNÁNDEZ FADÓN, Fernando (2006) “África occidental: el fenómeno de los mares fallidos y los riesgos para el entorno marítimo español.” </w:t>
            </w:r>
            <w:r w:rsidRPr="00760F07">
              <w:rPr>
                <w:rFonts w:ascii="Calibri" w:hAnsi="Calibri" w:cs="Times"/>
                <w:i/>
                <w:lang w:val="es-ES"/>
              </w:rPr>
              <w:t>Revista General de Marina</w:t>
            </w:r>
            <w:r w:rsidRPr="00760F07">
              <w:rPr>
                <w:rFonts w:ascii="Calibri" w:hAnsi="Calibri" w:cs="Times"/>
                <w:lang w:val="es-ES"/>
              </w:rPr>
              <w:t>. Tomo 251, Nº. 8-9 (Agosto/Setiembre). Armada Española.</w:t>
            </w:r>
          </w:p>
          <w:p w14:paraId="2470A048" w14:textId="77777777" w:rsidR="00DF47D0" w:rsidRDefault="00DF47D0" w:rsidP="001A6011">
            <w:pPr>
              <w:ind w:left="709" w:hanging="709"/>
              <w:jc w:val="both"/>
              <w:rPr>
                <w:rFonts w:ascii="Calibri" w:hAnsi="Calibri" w:cs="Times"/>
                <w:lang w:val="es-ES"/>
              </w:rPr>
            </w:pPr>
          </w:p>
          <w:p w14:paraId="397E5102" w14:textId="03D64E5D" w:rsidR="000B4E2F" w:rsidRDefault="000B4E2F" w:rsidP="00F74D0F">
            <w:pPr>
              <w:ind w:left="709" w:hanging="709"/>
              <w:jc w:val="both"/>
              <w:rPr>
                <w:rFonts w:ascii="Calibri" w:hAnsi="Calibri" w:cs="Times"/>
                <w:lang w:val="es-ES"/>
              </w:rPr>
            </w:pPr>
            <w:r w:rsidRPr="00712C34">
              <w:rPr>
                <w:rFonts w:ascii="Calibri" w:hAnsi="Calibri" w:cs="Times"/>
                <w:lang w:val="es-ES"/>
              </w:rPr>
              <w:t>FERNÁNDEZ FADÓN, Fernando (2013) “El mar: tablero geopolí</w:t>
            </w:r>
            <w:r>
              <w:rPr>
                <w:rFonts w:ascii="Calibri" w:hAnsi="Calibri" w:cs="Times"/>
                <w:lang w:val="es-ES"/>
              </w:rPr>
              <w:t xml:space="preserve">tico del siglo XXI”. </w:t>
            </w:r>
            <w:r w:rsidRPr="00DA2592">
              <w:rPr>
                <w:rFonts w:ascii="Calibri" w:hAnsi="Calibri" w:cs="Times"/>
                <w:i/>
                <w:lang w:val="es-ES"/>
              </w:rPr>
              <w:t>Revista</w:t>
            </w:r>
            <w:r w:rsidRPr="00712C34">
              <w:rPr>
                <w:rFonts w:ascii="Calibri" w:hAnsi="Calibri" w:cs="Times"/>
                <w:lang w:val="es-ES"/>
              </w:rPr>
              <w:t xml:space="preserve"> </w:t>
            </w:r>
            <w:r w:rsidRPr="00760F07">
              <w:rPr>
                <w:rFonts w:ascii="Calibri" w:hAnsi="Calibri" w:cs="Times"/>
                <w:i/>
                <w:lang w:val="es-ES"/>
              </w:rPr>
              <w:t>Política Exterior</w:t>
            </w:r>
            <w:r w:rsidRPr="00712C34">
              <w:rPr>
                <w:rFonts w:ascii="Calibri" w:hAnsi="Calibri" w:cs="Times"/>
                <w:lang w:val="es-ES"/>
              </w:rPr>
              <w:t>. Enero-febrero. Núm. 151. Madrid</w:t>
            </w:r>
            <w:r>
              <w:rPr>
                <w:rFonts w:ascii="Calibri" w:hAnsi="Calibri" w:cs="Times"/>
                <w:lang w:val="es-ES"/>
              </w:rPr>
              <w:t>.</w:t>
            </w:r>
          </w:p>
          <w:p w14:paraId="6251C70F" w14:textId="77777777" w:rsidR="00C46097" w:rsidRPr="00E425B4" w:rsidRDefault="00C46097" w:rsidP="00265765">
            <w:pPr>
              <w:jc w:val="both"/>
              <w:rPr>
                <w:rFonts w:ascii="Calibri" w:hAnsi="Calibri" w:cs="Times"/>
                <w:lang w:val="es-ES"/>
              </w:rPr>
            </w:pPr>
          </w:p>
          <w:p w14:paraId="33ADFFB5" w14:textId="61855243" w:rsidR="000B4E2F" w:rsidRDefault="000B4E2F" w:rsidP="001A6011">
            <w:pPr>
              <w:ind w:left="709" w:hanging="709"/>
              <w:jc w:val="both"/>
              <w:rPr>
                <w:rFonts w:ascii="Calibri" w:hAnsi="Calibri" w:cs="Times"/>
                <w:lang w:val="en-US"/>
              </w:rPr>
            </w:pPr>
            <w:r w:rsidRPr="00760F07">
              <w:rPr>
                <w:rFonts w:ascii="Calibri" w:hAnsi="Calibri" w:cs="Times"/>
                <w:lang w:val="es-ES"/>
              </w:rPr>
              <w:t xml:space="preserve"> </w:t>
            </w:r>
            <w:r w:rsidRPr="000B4E2F">
              <w:rPr>
                <w:rFonts w:ascii="Calibri" w:hAnsi="Calibri" w:cs="Times"/>
                <w:lang w:val="es-ES"/>
              </w:rPr>
              <w:t xml:space="preserve">GOYANES AGUILAR, Luis (2010) “Introducción: el estado del arte de la </w:t>
            </w:r>
            <w:proofErr w:type="spellStart"/>
            <w:r w:rsidRPr="000B4E2F">
              <w:rPr>
                <w:rFonts w:ascii="Calibri" w:hAnsi="Calibri" w:cs="Times"/>
                <w:lang w:val="es-ES"/>
              </w:rPr>
              <w:t>ciberseguridad</w:t>
            </w:r>
            <w:proofErr w:type="spellEnd"/>
            <w:r w:rsidRPr="000B4E2F">
              <w:rPr>
                <w:rFonts w:ascii="Calibri" w:hAnsi="Calibri" w:cs="Times"/>
                <w:lang w:val="es-ES"/>
              </w:rPr>
              <w:t xml:space="preserve">”. En AA.VV. (2010) </w:t>
            </w:r>
            <w:proofErr w:type="spellStart"/>
            <w:r w:rsidRPr="00C46097">
              <w:rPr>
                <w:rFonts w:ascii="Calibri" w:hAnsi="Calibri" w:cs="Times"/>
                <w:i/>
                <w:lang w:val="es-ES"/>
              </w:rPr>
              <w:t>Ciberseguridad</w:t>
            </w:r>
            <w:proofErr w:type="spellEnd"/>
            <w:r w:rsidRPr="00C46097">
              <w:rPr>
                <w:rFonts w:ascii="Calibri" w:hAnsi="Calibri" w:cs="Times"/>
                <w:i/>
                <w:lang w:val="es-ES"/>
              </w:rPr>
              <w:t>. Retos y amenazas a la seguridad nacional en el ciberespacio.</w:t>
            </w:r>
            <w:r w:rsidRPr="000B4E2F">
              <w:rPr>
                <w:rFonts w:ascii="Calibri" w:hAnsi="Calibri" w:cs="Times"/>
                <w:lang w:val="es-ES"/>
              </w:rPr>
              <w:t xml:space="preserve">  Cuaderno de Estrategia nº 149. Instituto Español de Estudios Estratégicos/ Instituto Universitario Gutierrez Mellado (UNED). </w:t>
            </w:r>
            <w:proofErr w:type="spellStart"/>
            <w:r w:rsidR="00265765">
              <w:rPr>
                <w:rFonts w:ascii="Calibri" w:hAnsi="Calibri" w:cs="Times"/>
                <w:lang w:val="en-US"/>
              </w:rPr>
              <w:t>Ministerio</w:t>
            </w:r>
            <w:proofErr w:type="spellEnd"/>
            <w:r w:rsidR="00265765">
              <w:rPr>
                <w:rFonts w:ascii="Calibri" w:hAnsi="Calibri" w:cs="Times"/>
                <w:lang w:val="en-US"/>
              </w:rPr>
              <w:t xml:space="preserve"> de </w:t>
            </w:r>
            <w:proofErr w:type="spellStart"/>
            <w:r w:rsidR="00265765">
              <w:rPr>
                <w:rFonts w:ascii="Calibri" w:hAnsi="Calibri" w:cs="Times"/>
                <w:lang w:val="en-US"/>
              </w:rPr>
              <w:t>Defensa</w:t>
            </w:r>
            <w:proofErr w:type="spellEnd"/>
            <w:r w:rsidR="00265765">
              <w:rPr>
                <w:rFonts w:ascii="Calibri" w:hAnsi="Calibri" w:cs="Times"/>
                <w:lang w:val="en-US"/>
              </w:rPr>
              <w:t>. Madrid</w:t>
            </w:r>
            <w:r w:rsidRPr="000B4E2F">
              <w:rPr>
                <w:rFonts w:ascii="Calibri" w:hAnsi="Calibri" w:cs="Times"/>
                <w:lang w:val="en-US"/>
              </w:rPr>
              <w:t>.</w:t>
            </w:r>
          </w:p>
          <w:p w14:paraId="6AB919A0" w14:textId="77777777" w:rsidR="00DF47D0" w:rsidRPr="000B4E2F" w:rsidRDefault="00DF47D0" w:rsidP="001A6011">
            <w:pPr>
              <w:ind w:left="709" w:hanging="709"/>
              <w:jc w:val="both"/>
              <w:rPr>
                <w:rFonts w:ascii="Calibri" w:hAnsi="Calibri" w:cs="Times"/>
                <w:lang w:val="en-US"/>
              </w:rPr>
            </w:pPr>
          </w:p>
          <w:p w14:paraId="3537963A" w14:textId="77777777" w:rsidR="000B4E2F" w:rsidRDefault="000B4E2F" w:rsidP="001A6011">
            <w:pPr>
              <w:ind w:left="709" w:hanging="709"/>
              <w:jc w:val="both"/>
              <w:rPr>
                <w:rFonts w:ascii="Calibri" w:hAnsi="Calibri" w:cs="Times"/>
                <w:lang w:val="en-US"/>
              </w:rPr>
            </w:pPr>
            <w:r w:rsidRPr="000339E9">
              <w:rPr>
                <w:rFonts w:ascii="Calibri" w:hAnsi="Calibri" w:cs="Times"/>
                <w:lang w:val="en-US"/>
              </w:rPr>
              <w:t xml:space="preserve">JOHNSON; Keith &amp; STANDISH, Reid (2018.03.08) “Putin and Xi Are Dreaming of a Polar Silk Road” </w:t>
            </w:r>
            <w:r w:rsidRPr="006B6E4A">
              <w:rPr>
                <w:rFonts w:ascii="Calibri" w:hAnsi="Calibri" w:cs="Times"/>
                <w:i/>
                <w:lang w:val="en-US"/>
              </w:rPr>
              <w:t>Foreign Policy</w:t>
            </w:r>
            <w:r w:rsidRPr="000339E9">
              <w:rPr>
                <w:rFonts w:ascii="Calibri" w:hAnsi="Calibri" w:cs="Times"/>
                <w:lang w:val="en-US"/>
              </w:rPr>
              <w:t>.</w:t>
            </w:r>
          </w:p>
          <w:p w14:paraId="5A18FE18" w14:textId="77777777" w:rsidR="00DF47D0" w:rsidRDefault="00DF47D0" w:rsidP="001A6011">
            <w:pPr>
              <w:ind w:left="709" w:hanging="709"/>
              <w:jc w:val="both"/>
              <w:rPr>
                <w:rFonts w:ascii="Calibri" w:hAnsi="Calibri" w:cs="Times"/>
                <w:lang w:val="en-US"/>
              </w:rPr>
            </w:pPr>
          </w:p>
          <w:p w14:paraId="308AEFE2" w14:textId="77777777" w:rsidR="000B4E2F" w:rsidRDefault="000B4E2F" w:rsidP="001A6011">
            <w:pPr>
              <w:ind w:left="709" w:hanging="709"/>
              <w:jc w:val="both"/>
              <w:rPr>
                <w:rFonts w:ascii="Calibri" w:hAnsi="Calibri" w:cs="Times"/>
                <w:i/>
                <w:lang w:val="en-US"/>
              </w:rPr>
            </w:pPr>
            <w:r w:rsidRPr="000339E9">
              <w:rPr>
                <w:rFonts w:ascii="Calibri" w:hAnsi="Calibri" w:cs="Times"/>
                <w:lang w:val="en-US"/>
              </w:rPr>
              <w:t xml:space="preserve">JOHNSON; Keith (2015.10.02) “Putin’s Mediterranean Power Play in Syria” </w:t>
            </w:r>
            <w:r w:rsidRPr="006B6E4A">
              <w:rPr>
                <w:rFonts w:ascii="Calibri" w:hAnsi="Calibri" w:cs="Times"/>
                <w:i/>
                <w:lang w:val="en-US"/>
              </w:rPr>
              <w:t>Foreign Policy.</w:t>
            </w:r>
          </w:p>
          <w:p w14:paraId="0BD8B8F0" w14:textId="77777777" w:rsidR="00DF47D0" w:rsidRDefault="00DF47D0" w:rsidP="001A6011">
            <w:pPr>
              <w:ind w:left="709" w:hanging="709"/>
              <w:jc w:val="both"/>
              <w:rPr>
                <w:rFonts w:ascii="Calibri" w:hAnsi="Calibri" w:cs="Times"/>
                <w:i/>
                <w:lang w:val="en-US"/>
              </w:rPr>
            </w:pPr>
          </w:p>
          <w:p w14:paraId="5D218F82" w14:textId="4AB384A3" w:rsidR="000B4E2F" w:rsidRDefault="000B4E2F" w:rsidP="001A6011">
            <w:pPr>
              <w:ind w:left="709" w:hanging="709"/>
              <w:jc w:val="both"/>
              <w:rPr>
                <w:rFonts w:ascii="Calibri" w:hAnsi="Calibri" w:cs="Times"/>
                <w:lang w:val="es-ES"/>
              </w:rPr>
            </w:pPr>
            <w:r w:rsidRPr="0022463C">
              <w:rPr>
                <w:rFonts w:ascii="Calibri" w:hAnsi="Calibri" w:cs="Times"/>
                <w:lang w:val="en-US"/>
              </w:rPr>
              <w:t xml:space="preserve">MURPHY, Marty N. &amp; SCHAUB, Gary (2018) “Sea of Peace” or Sea of War—Russian Maritime Hybrid Warfare in the Baltic Sea. U.S. Naval War College Review. </w:t>
            </w:r>
            <w:r w:rsidRPr="003C2793">
              <w:rPr>
                <w:rFonts w:ascii="Calibri" w:hAnsi="Calibri" w:cs="Times"/>
                <w:lang w:val="en-US"/>
              </w:rPr>
              <w:t xml:space="preserve">Volume 71. Number 2. U.S. Naval War College. </w:t>
            </w:r>
            <w:r w:rsidR="00501DE9" w:rsidRPr="003C2793">
              <w:rPr>
                <w:rFonts w:ascii="Calibri" w:hAnsi="Calibri" w:cs="Times"/>
                <w:lang w:val="en-US"/>
              </w:rPr>
              <w:t xml:space="preserve">U.S. Navy. </w:t>
            </w:r>
            <w:r w:rsidR="00265765">
              <w:rPr>
                <w:rFonts w:ascii="Calibri" w:hAnsi="Calibri" w:cs="Times"/>
                <w:lang w:val="es-ES"/>
              </w:rPr>
              <w:t>Newport</w:t>
            </w:r>
            <w:r w:rsidRPr="000B4E2F">
              <w:rPr>
                <w:rFonts w:ascii="Calibri" w:hAnsi="Calibri" w:cs="Times"/>
                <w:lang w:val="es-ES"/>
              </w:rPr>
              <w:t>.</w:t>
            </w:r>
          </w:p>
          <w:p w14:paraId="143B76FA" w14:textId="77777777" w:rsidR="00DF47D0" w:rsidRPr="000B4E2F" w:rsidRDefault="00DF47D0" w:rsidP="001A6011">
            <w:pPr>
              <w:ind w:left="709" w:hanging="709"/>
              <w:jc w:val="both"/>
              <w:rPr>
                <w:rFonts w:ascii="Calibri" w:hAnsi="Calibri" w:cs="Times"/>
                <w:lang w:val="es-ES"/>
              </w:rPr>
            </w:pPr>
          </w:p>
          <w:p w14:paraId="6B8B6955" w14:textId="0FE76D75" w:rsidR="000B4E2F" w:rsidRDefault="000B4E2F" w:rsidP="001A6011">
            <w:pPr>
              <w:ind w:left="709" w:hanging="709"/>
              <w:jc w:val="both"/>
              <w:rPr>
                <w:rFonts w:ascii="Calibri" w:hAnsi="Calibri" w:cs="Times"/>
                <w:lang w:val="es-ES"/>
              </w:rPr>
            </w:pPr>
            <w:r w:rsidRPr="00F74D0F">
              <w:rPr>
                <w:rFonts w:ascii="Calibri" w:hAnsi="Calibri" w:cs="Times"/>
                <w:lang w:val="es-ES"/>
              </w:rPr>
              <w:t xml:space="preserve">PALACIÁN DE INZA, Blanca &amp; GONZÁLEZ SÁNCHEZ, IGNACIO G. (2013) “Geopolítica del deshielo en el Ártico.” </w:t>
            </w:r>
            <w:r w:rsidRPr="00DA2592">
              <w:rPr>
                <w:rFonts w:ascii="Calibri" w:hAnsi="Calibri" w:cs="Times"/>
                <w:i/>
                <w:lang w:val="es-ES"/>
              </w:rPr>
              <w:t>Revista</w:t>
            </w:r>
            <w:r w:rsidRPr="00F74D0F">
              <w:rPr>
                <w:rFonts w:ascii="Calibri" w:hAnsi="Calibri" w:cs="Times"/>
                <w:lang w:val="es-ES"/>
              </w:rPr>
              <w:t xml:space="preserve"> </w:t>
            </w:r>
            <w:r w:rsidRPr="00DF47D0">
              <w:rPr>
                <w:rFonts w:ascii="Calibri" w:hAnsi="Calibri" w:cs="Times"/>
                <w:i/>
                <w:lang w:val="es-ES"/>
              </w:rPr>
              <w:t>Política Exterior</w:t>
            </w:r>
            <w:r w:rsidRPr="00F74D0F">
              <w:rPr>
                <w:rFonts w:ascii="Calibri" w:hAnsi="Calibri" w:cs="Times"/>
                <w:lang w:val="es-ES"/>
              </w:rPr>
              <w:t>.</w:t>
            </w:r>
            <w:r w:rsidR="00265765">
              <w:rPr>
                <w:rFonts w:ascii="Calibri" w:hAnsi="Calibri" w:cs="Times"/>
                <w:lang w:val="es-ES"/>
              </w:rPr>
              <w:t xml:space="preserve"> Julio-agosto. Núm. 154. Madrid</w:t>
            </w:r>
            <w:r w:rsidRPr="00F74D0F">
              <w:rPr>
                <w:rFonts w:ascii="Calibri" w:hAnsi="Calibri" w:cs="Times"/>
                <w:lang w:val="es-ES"/>
              </w:rPr>
              <w:t>.</w:t>
            </w:r>
          </w:p>
          <w:p w14:paraId="4850199B" w14:textId="77777777" w:rsidR="00DF47D0" w:rsidRDefault="00DF47D0" w:rsidP="001A6011">
            <w:pPr>
              <w:ind w:left="709" w:hanging="709"/>
              <w:jc w:val="both"/>
              <w:rPr>
                <w:rFonts w:ascii="Calibri" w:hAnsi="Calibri" w:cs="Times"/>
                <w:lang w:val="es-ES"/>
              </w:rPr>
            </w:pPr>
          </w:p>
          <w:p w14:paraId="5E54CC6D" w14:textId="66E3EA77" w:rsidR="000B4E2F" w:rsidRDefault="000B4E2F" w:rsidP="001A6011">
            <w:pPr>
              <w:ind w:left="709" w:hanging="709"/>
              <w:jc w:val="both"/>
              <w:rPr>
                <w:rFonts w:ascii="Calibri" w:hAnsi="Calibri" w:cs="Times"/>
                <w:lang w:val="es-ES"/>
              </w:rPr>
            </w:pPr>
            <w:r w:rsidRPr="00265765">
              <w:rPr>
                <w:rFonts w:ascii="Calibri" w:hAnsi="Calibri" w:cs="Times"/>
                <w:lang w:val="en-US"/>
              </w:rPr>
              <w:t>PEJSOVA, Eva (2018) “The Indo</w:t>
            </w:r>
            <w:r w:rsidR="00E425B4" w:rsidRPr="00265765">
              <w:rPr>
                <w:rFonts w:ascii="Calibri" w:hAnsi="Calibri" w:cs="Times"/>
                <w:lang w:val="en-US"/>
              </w:rPr>
              <w:t>-Pacific” A passage to Europe</w:t>
            </w:r>
            <w:r w:rsidRPr="00265765">
              <w:rPr>
                <w:rFonts w:ascii="Calibri" w:hAnsi="Calibri" w:cs="Times"/>
                <w:lang w:val="en-US"/>
              </w:rPr>
              <w:t>?</w:t>
            </w:r>
            <w:r w:rsidR="00E425B4" w:rsidRPr="00265765">
              <w:rPr>
                <w:rFonts w:ascii="Calibri" w:hAnsi="Calibri" w:cs="Times"/>
                <w:lang w:val="en-US"/>
              </w:rPr>
              <w:t>”</w:t>
            </w:r>
            <w:r w:rsidRPr="00265765">
              <w:rPr>
                <w:rFonts w:ascii="Calibri" w:hAnsi="Calibri" w:cs="Times"/>
                <w:lang w:val="en-US"/>
              </w:rPr>
              <w:t xml:space="preserve"> </w:t>
            </w:r>
            <w:r w:rsidRPr="006B6E4A">
              <w:rPr>
                <w:rFonts w:ascii="Calibri" w:hAnsi="Calibri" w:cs="Times"/>
                <w:i/>
                <w:lang w:val="en-US"/>
              </w:rPr>
              <w:t>Brief</w:t>
            </w:r>
            <w:r>
              <w:rPr>
                <w:rFonts w:ascii="Calibri" w:hAnsi="Calibri" w:cs="Times"/>
                <w:i/>
                <w:lang w:val="en-US"/>
              </w:rPr>
              <w:t xml:space="preserve"> Security</w:t>
            </w:r>
            <w:r w:rsidRPr="006B6E4A">
              <w:rPr>
                <w:rFonts w:ascii="Calibri" w:hAnsi="Calibri" w:cs="Times"/>
                <w:i/>
                <w:lang w:val="en-US"/>
              </w:rPr>
              <w:t xml:space="preserve"> Issue</w:t>
            </w:r>
            <w:r w:rsidRPr="000339E9">
              <w:rPr>
                <w:rFonts w:ascii="Calibri" w:hAnsi="Calibri" w:cs="Times"/>
                <w:lang w:val="en-US"/>
              </w:rPr>
              <w:t xml:space="preserve"> nº3. The European Union Institute of Security Studies. </w:t>
            </w:r>
            <w:r w:rsidRPr="00F328DE">
              <w:rPr>
                <w:rFonts w:ascii="Calibri" w:hAnsi="Calibri" w:cs="Times"/>
                <w:lang w:val="es-ES"/>
              </w:rPr>
              <w:t>París.</w:t>
            </w:r>
          </w:p>
          <w:p w14:paraId="0C8BBB01" w14:textId="77777777" w:rsidR="00DA2592" w:rsidRDefault="00DA2592" w:rsidP="001A6011">
            <w:pPr>
              <w:ind w:left="709" w:hanging="709"/>
              <w:jc w:val="both"/>
              <w:rPr>
                <w:rFonts w:ascii="Calibri" w:hAnsi="Calibri" w:cs="Times"/>
                <w:lang w:val="es-ES"/>
              </w:rPr>
            </w:pPr>
          </w:p>
          <w:p w14:paraId="763356D3" w14:textId="28429C2A" w:rsidR="000B4E2F" w:rsidRDefault="000B4E2F" w:rsidP="001A6011">
            <w:pPr>
              <w:ind w:left="709" w:hanging="709"/>
              <w:jc w:val="both"/>
              <w:rPr>
                <w:rFonts w:ascii="Calibri" w:hAnsi="Calibri" w:cs="Times"/>
                <w:lang w:val="es-ES"/>
              </w:rPr>
            </w:pPr>
            <w:r w:rsidRPr="00712C34">
              <w:rPr>
                <w:rFonts w:ascii="Calibri" w:hAnsi="Calibri" w:cs="Times"/>
                <w:lang w:val="es-ES"/>
              </w:rPr>
              <w:t xml:space="preserve">RUESTA BOTELLA, José Antonio (2008) “Seguridad marítima: retos y tendencias” En VV.AA  (2008) </w:t>
            </w:r>
            <w:r w:rsidRPr="00760F07">
              <w:rPr>
                <w:rFonts w:ascii="Calibri" w:hAnsi="Calibri" w:cs="Times"/>
                <w:i/>
                <w:lang w:val="es-ES"/>
              </w:rPr>
              <w:t>Impacto de las riesgos emergentes en la  seguridad marítima</w:t>
            </w:r>
            <w:r w:rsidRPr="00712C34">
              <w:rPr>
                <w:rFonts w:ascii="Calibri" w:hAnsi="Calibri" w:cs="Times"/>
                <w:lang w:val="es-ES"/>
              </w:rPr>
              <w:t>. Cuaderno de Estrategia 140. Instituto Español de Estudios Estratégicos</w:t>
            </w:r>
            <w:r w:rsidR="00265765">
              <w:rPr>
                <w:rFonts w:ascii="Calibri" w:hAnsi="Calibri" w:cs="Times"/>
                <w:lang w:val="es-ES"/>
              </w:rPr>
              <w:t>. Ministerio de Defensa, Madrid</w:t>
            </w:r>
            <w:r w:rsidRPr="00712C34">
              <w:rPr>
                <w:rFonts w:ascii="Calibri" w:hAnsi="Calibri" w:cs="Times"/>
                <w:lang w:val="es-ES"/>
              </w:rPr>
              <w:t>.</w:t>
            </w:r>
          </w:p>
          <w:p w14:paraId="6791DA4C" w14:textId="77777777" w:rsidR="00DA2592" w:rsidRDefault="00DA2592" w:rsidP="001A6011">
            <w:pPr>
              <w:ind w:left="709" w:hanging="709"/>
              <w:jc w:val="both"/>
              <w:rPr>
                <w:rFonts w:ascii="Calibri" w:hAnsi="Calibri" w:cs="Times"/>
                <w:lang w:val="es-ES"/>
              </w:rPr>
            </w:pPr>
          </w:p>
          <w:p w14:paraId="0CEBCC34" w14:textId="79DAEC85" w:rsidR="00DA2592" w:rsidRDefault="000B4E2F" w:rsidP="001A6011">
            <w:pPr>
              <w:ind w:left="709" w:hanging="709"/>
              <w:jc w:val="both"/>
              <w:rPr>
                <w:rFonts w:ascii="Calibri" w:hAnsi="Calibri" w:cs="Times"/>
                <w:lang w:val="es-ES"/>
              </w:rPr>
            </w:pPr>
            <w:r w:rsidRPr="00760F07">
              <w:rPr>
                <w:rFonts w:ascii="Calibri" w:hAnsi="Calibri" w:cs="Times"/>
                <w:lang w:val="es-ES"/>
              </w:rPr>
              <w:t xml:space="preserve">SANTÉ ABAL, José María (2017) “Golfo de Guinea: piratería nigeriana.” En AA.VV (2018) </w:t>
            </w:r>
            <w:r w:rsidRPr="00760F07">
              <w:rPr>
                <w:rFonts w:ascii="Calibri" w:hAnsi="Calibri" w:cs="Times"/>
                <w:i/>
                <w:lang w:val="es-ES"/>
              </w:rPr>
              <w:t>Mares violentos</w:t>
            </w:r>
            <w:r w:rsidRPr="00760F07">
              <w:rPr>
                <w:rFonts w:ascii="Calibri" w:hAnsi="Calibri" w:cs="Times"/>
                <w:lang w:val="es-ES"/>
              </w:rPr>
              <w:t xml:space="preserve">. Documentos del Instituto Español de Estudios Estratégicos (IEEE). </w:t>
            </w:r>
            <w:r w:rsidR="00DA2592">
              <w:rPr>
                <w:rFonts w:ascii="Calibri" w:hAnsi="Calibri" w:cs="Times"/>
                <w:lang w:val="es-ES"/>
              </w:rPr>
              <w:t>Nº 07/2017. Instituto Español de Estudios Estratégicos</w:t>
            </w:r>
            <w:r w:rsidR="00265765">
              <w:rPr>
                <w:rFonts w:ascii="Calibri" w:hAnsi="Calibri" w:cs="Times"/>
                <w:lang w:val="es-ES"/>
              </w:rPr>
              <w:t>. Ministerio de Defensa. Madrid</w:t>
            </w:r>
            <w:r w:rsidRPr="00AE5226">
              <w:rPr>
                <w:rFonts w:ascii="Calibri" w:hAnsi="Calibri" w:cs="Times"/>
                <w:lang w:val="es-ES"/>
              </w:rPr>
              <w:t>.</w:t>
            </w:r>
          </w:p>
          <w:p w14:paraId="2A96C5B4" w14:textId="4D05AD3F" w:rsidR="000B4E2F" w:rsidRDefault="000B4E2F" w:rsidP="001A6011">
            <w:pPr>
              <w:ind w:left="709" w:hanging="709"/>
              <w:jc w:val="both"/>
              <w:rPr>
                <w:rFonts w:ascii="Calibri" w:hAnsi="Calibri" w:cs="Times"/>
                <w:lang w:val="es-ES"/>
              </w:rPr>
            </w:pPr>
            <w:r w:rsidRPr="00AE5226">
              <w:rPr>
                <w:rFonts w:ascii="Calibri" w:hAnsi="Calibri" w:cs="Times"/>
                <w:lang w:val="es-ES"/>
              </w:rPr>
              <w:t xml:space="preserve"> </w:t>
            </w:r>
          </w:p>
          <w:p w14:paraId="752B5757" w14:textId="5636A0D8" w:rsidR="000B4E2F" w:rsidRDefault="000B4E2F" w:rsidP="002A50F7">
            <w:pPr>
              <w:ind w:left="709" w:hanging="709"/>
              <w:jc w:val="both"/>
              <w:rPr>
                <w:rFonts w:ascii="Calibri" w:hAnsi="Calibri" w:cs="Times"/>
                <w:lang w:val="en-US"/>
              </w:rPr>
            </w:pPr>
            <w:r w:rsidRPr="000B4E2F">
              <w:rPr>
                <w:rFonts w:ascii="Calibri" w:hAnsi="Calibri" w:cs="Times"/>
                <w:lang w:val="en-US"/>
              </w:rPr>
              <w:t xml:space="preserve">STAVRIDIS, James &amp; SUANK, Rishi (2018) </w:t>
            </w:r>
            <w:r w:rsidRPr="000B4E2F">
              <w:rPr>
                <w:rFonts w:ascii="Calibri" w:hAnsi="Calibri" w:cs="Times"/>
                <w:i/>
                <w:lang w:val="en-US"/>
              </w:rPr>
              <w:t xml:space="preserve">Undersea cables. </w:t>
            </w:r>
            <w:r w:rsidRPr="00760F07">
              <w:rPr>
                <w:rFonts w:ascii="Calibri" w:hAnsi="Calibri" w:cs="Times"/>
                <w:i/>
                <w:lang w:val="en-US"/>
              </w:rPr>
              <w:t>Indispensable, insecure</w:t>
            </w:r>
            <w:r w:rsidR="0018005D">
              <w:rPr>
                <w:rFonts w:ascii="Calibri" w:hAnsi="Calibri" w:cs="Times"/>
                <w:lang w:val="en-US"/>
              </w:rPr>
              <w:t>. The Po</w:t>
            </w:r>
            <w:r w:rsidR="00265765">
              <w:rPr>
                <w:rFonts w:ascii="Calibri" w:hAnsi="Calibri" w:cs="Times"/>
                <w:lang w:val="en-US"/>
              </w:rPr>
              <w:t>licy Exchange. London</w:t>
            </w:r>
            <w:r w:rsidR="0018005D">
              <w:rPr>
                <w:rFonts w:ascii="Calibri" w:hAnsi="Calibri" w:cs="Times"/>
                <w:lang w:val="en-US"/>
              </w:rPr>
              <w:t>.</w:t>
            </w:r>
          </w:p>
          <w:p w14:paraId="5E7D2C7A" w14:textId="77777777" w:rsidR="0018005D" w:rsidRDefault="0018005D" w:rsidP="002A50F7">
            <w:pPr>
              <w:ind w:left="709" w:hanging="709"/>
              <w:jc w:val="both"/>
              <w:rPr>
                <w:rFonts w:ascii="Calibri" w:hAnsi="Calibri" w:cs="Times"/>
                <w:lang w:val="en-US"/>
              </w:rPr>
            </w:pPr>
          </w:p>
          <w:p w14:paraId="50995C9C" w14:textId="77777777" w:rsidR="00ED19EB" w:rsidRDefault="0018005D" w:rsidP="00265765">
            <w:pPr>
              <w:ind w:left="709" w:hanging="709"/>
              <w:jc w:val="both"/>
              <w:rPr>
                <w:rFonts w:ascii="Calibri" w:hAnsi="Calibri" w:cs="Times"/>
                <w:lang w:val="es-ES"/>
              </w:rPr>
            </w:pPr>
            <w:r w:rsidRPr="0018005D">
              <w:rPr>
                <w:rFonts w:ascii="Calibri" w:hAnsi="Calibri" w:cs="Times"/>
                <w:lang w:val="en-US"/>
              </w:rPr>
              <w:t xml:space="preserve">SZECHENYI, Nicholas (ed.) (2018) </w:t>
            </w:r>
            <w:r w:rsidRPr="0018005D">
              <w:rPr>
                <w:rFonts w:ascii="Calibri" w:hAnsi="Calibri" w:cs="Times"/>
                <w:i/>
                <w:lang w:val="en-US"/>
              </w:rPr>
              <w:t xml:space="preserve">China`s Maritime Silk Road. Strategic and Economic Implications for the Indo-Pacific Region. </w:t>
            </w:r>
            <w:r w:rsidRPr="0018005D">
              <w:rPr>
                <w:rFonts w:ascii="Calibri" w:hAnsi="Calibri" w:cs="Times"/>
                <w:lang w:val="es-ES"/>
              </w:rPr>
              <w:t xml:space="preserve">Center </w:t>
            </w:r>
            <w:proofErr w:type="spellStart"/>
            <w:r w:rsidRPr="0018005D">
              <w:rPr>
                <w:rFonts w:ascii="Calibri" w:hAnsi="Calibri" w:cs="Times"/>
                <w:lang w:val="es-ES"/>
              </w:rPr>
              <w:t>for</w:t>
            </w:r>
            <w:proofErr w:type="spellEnd"/>
            <w:r w:rsidRPr="0018005D">
              <w:rPr>
                <w:rFonts w:ascii="Calibri" w:hAnsi="Calibri" w:cs="Times"/>
                <w:lang w:val="es-ES"/>
              </w:rPr>
              <w:t xml:space="preserve"> </w:t>
            </w:r>
            <w:proofErr w:type="spellStart"/>
            <w:r w:rsidRPr="0018005D">
              <w:rPr>
                <w:rFonts w:ascii="Calibri" w:hAnsi="Calibri" w:cs="Times"/>
                <w:lang w:val="es-ES"/>
              </w:rPr>
              <w:t>Strategic</w:t>
            </w:r>
            <w:proofErr w:type="spellEnd"/>
            <w:r w:rsidRPr="0018005D">
              <w:rPr>
                <w:rFonts w:ascii="Calibri" w:hAnsi="Calibri" w:cs="Times"/>
                <w:lang w:val="es-ES"/>
              </w:rPr>
              <w:t xml:space="preserve"> &amp; International </w:t>
            </w:r>
            <w:proofErr w:type="spellStart"/>
            <w:r w:rsidRPr="0018005D">
              <w:rPr>
                <w:rFonts w:ascii="Calibri" w:hAnsi="Calibri" w:cs="Times"/>
                <w:lang w:val="es-ES"/>
              </w:rPr>
              <w:t>Studies</w:t>
            </w:r>
            <w:proofErr w:type="spellEnd"/>
            <w:r w:rsidRPr="0018005D">
              <w:rPr>
                <w:rFonts w:ascii="Calibri" w:hAnsi="Calibri" w:cs="Times"/>
                <w:lang w:val="es-ES"/>
              </w:rPr>
              <w:t xml:space="preserve"> (CSIS). Washington.</w:t>
            </w:r>
          </w:p>
          <w:p w14:paraId="05D73953" w14:textId="77777777" w:rsidR="00265765" w:rsidRDefault="00265765" w:rsidP="00265765">
            <w:pPr>
              <w:ind w:left="709" w:hanging="709"/>
              <w:jc w:val="both"/>
              <w:rPr>
                <w:rFonts w:ascii="Calibri" w:hAnsi="Calibri" w:cs="Times"/>
                <w:lang w:val="es-ES"/>
              </w:rPr>
            </w:pPr>
          </w:p>
          <w:p w14:paraId="364C4C81" w14:textId="004ACCA4" w:rsidR="00265765" w:rsidRPr="00265765" w:rsidRDefault="00265765" w:rsidP="00265765">
            <w:pPr>
              <w:ind w:left="709" w:hanging="709"/>
              <w:jc w:val="both"/>
              <w:rPr>
                <w:rFonts w:ascii="Calibri" w:hAnsi="Calibri" w:cs="Times"/>
                <w:lang w:val="es-ES"/>
              </w:rPr>
            </w:pPr>
          </w:p>
        </w:tc>
      </w:tr>
      <w:tr w:rsidR="00076F42" w:rsidRPr="00DB5B10" w14:paraId="6C88A632" w14:textId="77777777" w:rsidTr="00A126A2">
        <w:tc>
          <w:tcPr>
            <w:tcW w:w="8714" w:type="dxa"/>
            <w:gridSpan w:val="5"/>
          </w:tcPr>
          <w:p w14:paraId="77965506" w14:textId="77777777" w:rsidR="00076F42" w:rsidRDefault="00076F42" w:rsidP="00A126A2">
            <w:pPr>
              <w:rPr>
                <w:b/>
              </w:rPr>
            </w:pPr>
            <w:r w:rsidRPr="004E32C4">
              <w:rPr>
                <w:b/>
              </w:rPr>
              <w:t>Evaluación:</w:t>
            </w:r>
          </w:p>
          <w:p w14:paraId="4DF289DC" w14:textId="7E2F24A7" w:rsidR="008A54E0" w:rsidRDefault="009B7CD1" w:rsidP="009B7CD1">
            <w:pPr>
              <w:jc w:val="both"/>
            </w:pPr>
            <w:r>
              <w:t>La calificación de los análisis propuestos por cada unidad didáctica se realizará de acuerdo al baremo de 0-100%, según la metodología de evaluación aplicada en el marco del Aula Virtual del Máster de Seguridad, Paz y Conflictos Internacionales de la Universidad de Santiago de Compostela.</w:t>
            </w:r>
            <w:r w:rsidR="00F349EF">
              <w:t xml:space="preserve"> La nota final de la asignatura será la media aritmética de las notas ponderadas de dichas evaluaciones. Para los alumnos que concurran en la convocatoria de septiembre se les exigirá</w:t>
            </w:r>
            <w:r>
              <w:t xml:space="preserve"> la entrega de los mismos trabajos que componen cada uno de los bloques didácticos de la asignatura, cuyo</w:t>
            </w:r>
            <w:r w:rsidR="00F349EF">
              <w:t xml:space="preserve"> plazo de presentación</w:t>
            </w:r>
            <w:r>
              <w:t xml:space="preserve"> límite</w:t>
            </w:r>
            <w:r w:rsidR="00187E72">
              <w:t xml:space="preserve"> será</w:t>
            </w:r>
            <w:r w:rsidR="00265765">
              <w:t xml:space="preserve"> el 14</w:t>
            </w:r>
            <w:r w:rsidR="00F349EF">
              <w:t xml:space="preserve"> de septiembre.</w:t>
            </w:r>
          </w:p>
          <w:p w14:paraId="65403D9D" w14:textId="6C9F963C" w:rsidR="00F349EF" w:rsidRPr="00F349EF" w:rsidRDefault="00F349EF" w:rsidP="009B7CD1">
            <w:pPr>
              <w:jc w:val="both"/>
            </w:pPr>
            <w:r>
              <w:t xml:space="preserve"> </w:t>
            </w:r>
          </w:p>
        </w:tc>
      </w:tr>
      <w:tr w:rsidR="00B51FC9" w:rsidRPr="00DB5B10" w14:paraId="6CEB886B" w14:textId="77777777" w:rsidTr="004E507E">
        <w:trPr>
          <w:trHeight w:val="1280"/>
        </w:trPr>
        <w:tc>
          <w:tcPr>
            <w:tcW w:w="8714" w:type="dxa"/>
            <w:gridSpan w:val="5"/>
          </w:tcPr>
          <w:p w14:paraId="5496FD9C" w14:textId="295C4A04" w:rsidR="00B51FC9" w:rsidRDefault="00B51FC9" w:rsidP="00A126A2">
            <w:pPr>
              <w:rPr>
                <w:b/>
              </w:rPr>
            </w:pPr>
            <w:r w:rsidRPr="004E32C4">
              <w:rPr>
                <w:b/>
              </w:rPr>
              <w:t>Observaciones:</w:t>
            </w:r>
          </w:p>
          <w:p w14:paraId="515CB729" w14:textId="0C9ACF03" w:rsidR="00B51FC9" w:rsidRPr="00B51FC9" w:rsidRDefault="008E29D8" w:rsidP="008E29D8">
            <w:pPr>
              <w:jc w:val="both"/>
            </w:pPr>
            <w:r>
              <w:t>El campus virtual será la</w:t>
            </w:r>
            <w:r w:rsidR="000B0F63">
              <w:t xml:space="preserve"> herramienta básica en la docencia </w:t>
            </w:r>
            <w:r>
              <w:t xml:space="preserve">y trabajo </w:t>
            </w:r>
            <w:r w:rsidR="000B0F63">
              <w:t>de la asignatura, por lo que se ruega a todos los alumnos q</w:t>
            </w:r>
            <w:r>
              <w:t>ue gestionen su alta</w:t>
            </w:r>
            <w:r w:rsidR="000B0F63">
              <w:t xml:space="preserve"> desde el momento de la aceptación de la preinscripción.</w:t>
            </w:r>
            <w:r>
              <w:t xml:space="preserve"> Para cualquier duda sobre la utilización o dificultades técnicas detectadas por el alumno, dirigirse a Coordinador del Máster, Profesor D. </w:t>
            </w:r>
            <w:r w:rsidR="005C67C3">
              <w:t xml:space="preserve">Luis Velasco ( </w:t>
            </w:r>
            <w:hyperlink r:id="rId8" w:history="1">
              <w:r w:rsidR="005C67C3" w:rsidRPr="008F3F07">
                <w:rPr>
                  <w:rStyle w:val="Hipervnculo"/>
                </w:rPr>
                <w:t>Luis.velasco@usc.es</w:t>
              </w:r>
            </w:hyperlink>
            <w:r w:rsidR="005C67C3">
              <w:t xml:space="preserve"> </w:t>
            </w:r>
            <w:r>
              <w:t>)</w:t>
            </w:r>
          </w:p>
        </w:tc>
      </w:tr>
    </w:tbl>
    <w:p w14:paraId="731B2FAA" w14:textId="77777777" w:rsidR="00076F42" w:rsidRPr="00DB5B10" w:rsidRDefault="00076F42" w:rsidP="00076F42"/>
    <w:p w14:paraId="75008F0E" w14:textId="77777777" w:rsidR="002E566F" w:rsidRPr="00A66E3A" w:rsidRDefault="002E566F" w:rsidP="005468E9">
      <w:pPr>
        <w:rPr>
          <w:rFonts w:ascii="Times New Roman" w:hAnsi="Times New Roman" w:cs="Times New Roman"/>
          <w:sz w:val="24"/>
          <w:szCs w:val="24"/>
        </w:rPr>
      </w:pPr>
    </w:p>
    <w:sectPr w:rsidR="002E566F" w:rsidRPr="00A66E3A" w:rsidSect="00076F42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E0575" w14:textId="77777777" w:rsidR="009D7218" w:rsidRDefault="009D7218" w:rsidP="006D253B">
      <w:pPr>
        <w:spacing w:after="0" w:line="240" w:lineRule="auto"/>
      </w:pPr>
      <w:r>
        <w:separator/>
      </w:r>
    </w:p>
  </w:endnote>
  <w:endnote w:type="continuationSeparator" w:id="0">
    <w:p w14:paraId="73CE081F" w14:textId="77777777" w:rsidR="009D7218" w:rsidRDefault="009D7218" w:rsidP="006D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CA286" w14:textId="77777777" w:rsidR="00BE4A72" w:rsidRPr="00A66E3A" w:rsidRDefault="00BE4A72" w:rsidP="00A66E3A">
    <w:pPr>
      <w:jc w:val="both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5169A" w14:textId="77777777" w:rsidR="009D7218" w:rsidRDefault="009D7218" w:rsidP="006D253B">
      <w:pPr>
        <w:spacing w:after="0" w:line="240" w:lineRule="auto"/>
      </w:pPr>
      <w:r>
        <w:separator/>
      </w:r>
    </w:p>
  </w:footnote>
  <w:footnote w:type="continuationSeparator" w:id="0">
    <w:p w14:paraId="36AA36DD" w14:textId="77777777" w:rsidR="009D7218" w:rsidRDefault="009D7218" w:rsidP="006D2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851EE" w14:textId="49DD7ED6" w:rsidR="00BE4A72" w:rsidRDefault="00BE4A72" w:rsidP="00611DB9">
    <w:pPr>
      <w:ind w:right="-1"/>
    </w:pPr>
    <w:r>
      <w:rPr>
        <w:rFonts w:ascii="Times New Roman" w:hAnsi="Times New Roman" w:cs="Times New Roman"/>
        <w:b/>
        <w:noProof/>
        <w:sz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3ADC88" wp14:editId="444944B4">
              <wp:simplePos x="0" y="0"/>
              <wp:positionH relativeFrom="column">
                <wp:posOffset>3520440</wp:posOffset>
              </wp:positionH>
              <wp:positionV relativeFrom="paragraph">
                <wp:posOffset>27305</wp:posOffset>
              </wp:positionV>
              <wp:extent cx="1969135" cy="841375"/>
              <wp:effectExtent l="0" t="0" r="37465" b="222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9135" cy="841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A823C2" w14:textId="77777777" w:rsidR="00BE4A72" w:rsidRPr="00233DA4" w:rsidRDefault="00BE4A72" w:rsidP="00DB609B">
                          <w:pPr>
                            <w:ind w:right="-30"/>
                            <w:rPr>
                              <w:rFonts w:ascii="Lucida Bright" w:hAnsi="Lucida Bright" w:cs="Adobe Arabic"/>
                              <w:sz w:val="12"/>
                              <w:szCs w:val="16"/>
                            </w:rPr>
                          </w:pPr>
                          <w:r w:rsidRPr="00233DA4">
                            <w:rPr>
                              <w:rFonts w:ascii="Lucida Bright" w:hAnsi="Lucida Bright" w:cs="Adobe Arabic"/>
                              <w:sz w:val="12"/>
                              <w:szCs w:val="16"/>
                            </w:rPr>
                            <w:t>CENTRO DE ESTUDOS DE SEGURIDADE (CESEG)</w:t>
                          </w:r>
                          <w:r>
                            <w:rPr>
                              <w:rFonts w:ascii="Lucida Bright" w:hAnsi="Lucida Bright" w:cs="Adobe Arabic"/>
                              <w:sz w:val="12"/>
                              <w:szCs w:val="16"/>
                            </w:rPr>
                            <w:br/>
                          </w:r>
                          <w:r w:rsidRPr="00233DA4">
                            <w:rPr>
                              <w:rFonts w:ascii="Lucida Bright" w:hAnsi="Lucida Bright" w:cs="Adobe Arabic"/>
                              <w:sz w:val="12"/>
                              <w:szCs w:val="16"/>
                            </w:rPr>
                            <w:br/>
                          </w:r>
                          <w:r w:rsidRPr="00233DA4">
                            <w:rPr>
                              <w:rFonts w:ascii="Lucida Bright" w:hAnsi="Lucida Bright" w:cs="Adobe Arabic"/>
                              <w:sz w:val="12"/>
                              <w:szCs w:val="16"/>
                            </w:rPr>
                            <w:br/>
                            <w:t>FACULTADE  DE DEREITO</w:t>
                          </w:r>
                          <w:r w:rsidRPr="00233DA4">
                            <w:rPr>
                              <w:rFonts w:ascii="Lucida Bright" w:hAnsi="Lucida Bright" w:cs="Adobe Arabic"/>
                              <w:sz w:val="12"/>
                              <w:szCs w:val="16"/>
                            </w:rPr>
                            <w:br/>
                            <w:t>Campus Vida</w:t>
                          </w:r>
                          <w:r w:rsidRPr="00233DA4">
                            <w:rPr>
                              <w:rFonts w:ascii="Lucida Bright" w:hAnsi="Lucida Bright" w:cs="Adobe Arabic"/>
                              <w:sz w:val="12"/>
                              <w:szCs w:val="16"/>
                            </w:rPr>
                            <w:br/>
                            <w:t>15782 Santiago de Compostela  - España Teléfono: 981563100 – Ext. 14776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3ADC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7.2pt;margin-top:2.15pt;width:155.05pt;height:6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" strokecolor="white [3212]">
              <v:textbox>
                <w:txbxContent>
                  <w:p w14:paraId="4AA823C2" w14:textId="77777777" w:rsidR="00BE4A72" w:rsidRPr="00233DA4" w:rsidRDefault="00BE4A72" w:rsidP="00DB609B">
                    <w:pPr>
                      <w:ind w:right="-30"/>
                      <w:rPr>
                        <w:rFonts w:ascii="Lucida Bright" w:hAnsi="Lucida Bright" w:cs="Adobe Arabic"/>
                        <w:sz w:val="12"/>
                        <w:szCs w:val="16"/>
                      </w:rPr>
                    </w:pPr>
                    <w:r w:rsidRPr="00233DA4">
                      <w:rPr>
                        <w:rFonts w:ascii="Lucida Bright" w:hAnsi="Lucida Bright" w:cs="Adobe Arabic"/>
                        <w:sz w:val="12"/>
                        <w:szCs w:val="16"/>
                      </w:rPr>
                      <w:t>CENTRO DE ESTUDOS DE SEGURIDADE (CESEG)</w:t>
                    </w:r>
                    <w:r>
                      <w:rPr>
                        <w:rFonts w:ascii="Lucida Bright" w:hAnsi="Lucida Bright" w:cs="Adobe Arabic"/>
                        <w:sz w:val="12"/>
                        <w:szCs w:val="16"/>
                      </w:rPr>
                      <w:br/>
                    </w:r>
                    <w:r w:rsidRPr="00233DA4">
                      <w:rPr>
                        <w:rFonts w:ascii="Lucida Bright" w:hAnsi="Lucida Bright" w:cs="Adobe Arabic"/>
                        <w:sz w:val="12"/>
                        <w:szCs w:val="16"/>
                      </w:rPr>
                      <w:br/>
                    </w:r>
                    <w:r w:rsidRPr="00233DA4">
                      <w:rPr>
                        <w:rFonts w:ascii="Lucida Bright" w:hAnsi="Lucida Bright" w:cs="Adobe Arabic"/>
                        <w:sz w:val="12"/>
                        <w:szCs w:val="16"/>
                      </w:rPr>
                      <w:br/>
                      <w:t>FACULTADE  DE DEREITO</w:t>
                    </w:r>
                    <w:r w:rsidRPr="00233DA4">
                      <w:rPr>
                        <w:rFonts w:ascii="Lucida Bright" w:hAnsi="Lucida Bright" w:cs="Adobe Arabic"/>
                        <w:sz w:val="12"/>
                        <w:szCs w:val="16"/>
                      </w:rPr>
                      <w:br/>
                      <w:t>Campus Vida</w:t>
                    </w:r>
                    <w:r w:rsidRPr="00233DA4">
                      <w:rPr>
                        <w:rFonts w:ascii="Lucida Bright" w:hAnsi="Lucida Bright" w:cs="Adobe Arabic"/>
                        <w:sz w:val="12"/>
                        <w:szCs w:val="16"/>
                      </w:rPr>
                      <w:br/>
                      <w:t>15782 Santiago de Compostela  - España Teléfono: 981563100 – Ext. 14776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62B3D92" wp14:editId="23E60706">
          <wp:extent cx="1265555" cy="819150"/>
          <wp:effectExtent l="19050" t="0" r="0" b="0"/>
          <wp:docPr id="10" name="Imagen 1" descr="C:\Users\erika\Desktop\Logos\logo_u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ika\Desktop\Logos\logo_ux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145" cy="8428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D4BC76A" w14:textId="77777777" w:rsidR="00BE4A72" w:rsidRPr="00E034E8" w:rsidRDefault="00BE4A72" w:rsidP="00032B30">
    <w:pPr>
      <w:ind w:right="-1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E62F9E"/>
    <w:multiLevelType w:val="hybridMultilevel"/>
    <w:tmpl w:val="12CEAFC6"/>
    <w:lvl w:ilvl="0" w:tplc="CC44D432">
      <w:start w:val="1"/>
      <w:numFmt w:val="decimal"/>
      <w:lvlText w:val="%1."/>
      <w:lvlJc w:val="left"/>
      <w:pPr>
        <w:ind w:left="285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575" w:hanging="360"/>
      </w:pPr>
    </w:lvl>
    <w:lvl w:ilvl="2" w:tplc="0C0A001B" w:tentative="1">
      <w:start w:val="1"/>
      <w:numFmt w:val="lowerRoman"/>
      <w:lvlText w:val="%3."/>
      <w:lvlJc w:val="right"/>
      <w:pPr>
        <w:ind w:left="4295" w:hanging="180"/>
      </w:pPr>
    </w:lvl>
    <w:lvl w:ilvl="3" w:tplc="0C0A000F" w:tentative="1">
      <w:start w:val="1"/>
      <w:numFmt w:val="decimal"/>
      <w:lvlText w:val="%4."/>
      <w:lvlJc w:val="left"/>
      <w:pPr>
        <w:ind w:left="5015" w:hanging="360"/>
      </w:pPr>
    </w:lvl>
    <w:lvl w:ilvl="4" w:tplc="0C0A0019" w:tentative="1">
      <w:start w:val="1"/>
      <w:numFmt w:val="lowerLetter"/>
      <w:lvlText w:val="%5."/>
      <w:lvlJc w:val="left"/>
      <w:pPr>
        <w:ind w:left="5735" w:hanging="360"/>
      </w:pPr>
    </w:lvl>
    <w:lvl w:ilvl="5" w:tplc="0C0A001B" w:tentative="1">
      <w:start w:val="1"/>
      <w:numFmt w:val="lowerRoman"/>
      <w:lvlText w:val="%6."/>
      <w:lvlJc w:val="right"/>
      <w:pPr>
        <w:ind w:left="6455" w:hanging="180"/>
      </w:pPr>
    </w:lvl>
    <w:lvl w:ilvl="6" w:tplc="0C0A000F" w:tentative="1">
      <w:start w:val="1"/>
      <w:numFmt w:val="decimal"/>
      <w:lvlText w:val="%7."/>
      <w:lvlJc w:val="left"/>
      <w:pPr>
        <w:ind w:left="7175" w:hanging="360"/>
      </w:pPr>
    </w:lvl>
    <w:lvl w:ilvl="7" w:tplc="0C0A0019" w:tentative="1">
      <w:start w:val="1"/>
      <w:numFmt w:val="lowerLetter"/>
      <w:lvlText w:val="%8."/>
      <w:lvlJc w:val="left"/>
      <w:pPr>
        <w:ind w:left="7895" w:hanging="360"/>
      </w:pPr>
    </w:lvl>
    <w:lvl w:ilvl="8" w:tplc="0C0A001B" w:tentative="1">
      <w:start w:val="1"/>
      <w:numFmt w:val="lowerRoman"/>
      <w:lvlText w:val="%9."/>
      <w:lvlJc w:val="right"/>
      <w:pPr>
        <w:ind w:left="8615" w:hanging="180"/>
      </w:pPr>
    </w:lvl>
  </w:abstractNum>
  <w:abstractNum w:abstractNumId="2" w15:restartNumberingAfterBreak="0">
    <w:nsid w:val="0F7A63C3"/>
    <w:multiLevelType w:val="hybridMultilevel"/>
    <w:tmpl w:val="A50C6062"/>
    <w:lvl w:ilvl="0" w:tplc="44DADA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73C167D"/>
    <w:multiLevelType w:val="hybridMultilevel"/>
    <w:tmpl w:val="DDEE79A4"/>
    <w:lvl w:ilvl="0" w:tplc="0C0A000F">
      <w:start w:val="1"/>
      <w:numFmt w:val="decimal"/>
      <w:lvlText w:val="%1."/>
      <w:lvlJc w:val="left"/>
      <w:pPr>
        <w:ind w:left="1854" w:hanging="360"/>
      </w:pPr>
    </w:lvl>
    <w:lvl w:ilvl="1" w:tplc="0C0A0019">
      <w:start w:val="1"/>
      <w:numFmt w:val="lowerLetter"/>
      <w:lvlText w:val="%2."/>
      <w:lvlJc w:val="left"/>
      <w:pPr>
        <w:ind w:left="2574" w:hanging="360"/>
      </w:pPr>
    </w:lvl>
    <w:lvl w:ilvl="2" w:tplc="0C0A001B">
      <w:start w:val="1"/>
      <w:numFmt w:val="lowerRoman"/>
      <w:lvlText w:val="%3."/>
      <w:lvlJc w:val="right"/>
      <w:pPr>
        <w:ind w:left="3294" w:hanging="180"/>
      </w:pPr>
    </w:lvl>
    <w:lvl w:ilvl="3" w:tplc="0C0A000F">
      <w:start w:val="1"/>
      <w:numFmt w:val="decimal"/>
      <w:lvlText w:val="%4."/>
      <w:lvlJc w:val="left"/>
      <w:pPr>
        <w:ind w:left="4014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F21102"/>
    <w:multiLevelType w:val="hybridMultilevel"/>
    <w:tmpl w:val="1FC65D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40AD2"/>
    <w:multiLevelType w:val="multilevel"/>
    <w:tmpl w:val="7E8C2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184288"/>
    <w:multiLevelType w:val="hybridMultilevel"/>
    <w:tmpl w:val="E28EF8C6"/>
    <w:lvl w:ilvl="0" w:tplc="90EAEF50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53B"/>
    <w:rsid w:val="00020D36"/>
    <w:rsid w:val="00032B30"/>
    <w:rsid w:val="000339E9"/>
    <w:rsid w:val="00040803"/>
    <w:rsid w:val="00041AC5"/>
    <w:rsid w:val="000466AA"/>
    <w:rsid w:val="000554A6"/>
    <w:rsid w:val="000620FD"/>
    <w:rsid w:val="00076F42"/>
    <w:rsid w:val="000777F3"/>
    <w:rsid w:val="00091562"/>
    <w:rsid w:val="000A6A34"/>
    <w:rsid w:val="000B0F63"/>
    <w:rsid w:val="000B4E2F"/>
    <w:rsid w:val="000F5172"/>
    <w:rsid w:val="0010099F"/>
    <w:rsid w:val="00137990"/>
    <w:rsid w:val="001667E1"/>
    <w:rsid w:val="0018005D"/>
    <w:rsid w:val="00182D0E"/>
    <w:rsid w:val="00187E72"/>
    <w:rsid w:val="001A6011"/>
    <w:rsid w:val="001C3D35"/>
    <w:rsid w:val="001D54E2"/>
    <w:rsid w:val="001F09E7"/>
    <w:rsid w:val="00220D1D"/>
    <w:rsid w:val="0022463C"/>
    <w:rsid w:val="00226049"/>
    <w:rsid w:val="00233DA4"/>
    <w:rsid w:val="00247554"/>
    <w:rsid w:val="00265765"/>
    <w:rsid w:val="002A50F7"/>
    <w:rsid w:val="002E566F"/>
    <w:rsid w:val="002F5972"/>
    <w:rsid w:val="00300C5D"/>
    <w:rsid w:val="0030548A"/>
    <w:rsid w:val="00310F1A"/>
    <w:rsid w:val="003240E5"/>
    <w:rsid w:val="00347364"/>
    <w:rsid w:val="0035442E"/>
    <w:rsid w:val="0035523D"/>
    <w:rsid w:val="003A26EA"/>
    <w:rsid w:val="003C2793"/>
    <w:rsid w:val="003F0064"/>
    <w:rsid w:val="004543A0"/>
    <w:rsid w:val="00460B73"/>
    <w:rsid w:val="00466674"/>
    <w:rsid w:val="00477B21"/>
    <w:rsid w:val="004E32C4"/>
    <w:rsid w:val="004E507E"/>
    <w:rsid w:val="00501DE9"/>
    <w:rsid w:val="005468E9"/>
    <w:rsid w:val="005532AA"/>
    <w:rsid w:val="00556C2D"/>
    <w:rsid w:val="00572B77"/>
    <w:rsid w:val="00582828"/>
    <w:rsid w:val="005A0C13"/>
    <w:rsid w:val="005C67C3"/>
    <w:rsid w:val="005C7FF4"/>
    <w:rsid w:val="005E5CCB"/>
    <w:rsid w:val="005F3E1A"/>
    <w:rsid w:val="005F6BD2"/>
    <w:rsid w:val="00611DB9"/>
    <w:rsid w:val="00614B30"/>
    <w:rsid w:val="006247BB"/>
    <w:rsid w:val="006408B7"/>
    <w:rsid w:val="00644793"/>
    <w:rsid w:val="00681A43"/>
    <w:rsid w:val="00686C6B"/>
    <w:rsid w:val="006B3630"/>
    <w:rsid w:val="006B6E4A"/>
    <w:rsid w:val="006D1952"/>
    <w:rsid w:val="006D253B"/>
    <w:rsid w:val="006D29BE"/>
    <w:rsid w:val="00712C34"/>
    <w:rsid w:val="00760EB3"/>
    <w:rsid w:val="00760F07"/>
    <w:rsid w:val="007A037C"/>
    <w:rsid w:val="007A4C54"/>
    <w:rsid w:val="007B25EF"/>
    <w:rsid w:val="007F2F5D"/>
    <w:rsid w:val="00832110"/>
    <w:rsid w:val="00842BB3"/>
    <w:rsid w:val="0084388B"/>
    <w:rsid w:val="008547A7"/>
    <w:rsid w:val="008737ED"/>
    <w:rsid w:val="0087662A"/>
    <w:rsid w:val="00881045"/>
    <w:rsid w:val="00894379"/>
    <w:rsid w:val="00894C37"/>
    <w:rsid w:val="008A54E0"/>
    <w:rsid w:val="008B1020"/>
    <w:rsid w:val="008E29D8"/>
    <w:rsid w:val="00906060"/>
    <w:rsid w:val="00932C6D"/>
    <w:rsid w:val="00975244"/>
    <w:rsid w:val="009754B2"/>
    <w:rsid w:val="009960EB"/>
    <w:rsid w:val="009B7CD1"/>
    <w:rsid w:val="009D7218"/>
    <w:rsid w:val="009E431F"/>
    <w:rsid w:val="00A011B5"/>
    <w:rsid w:val="00A126A2"/>
    <w:rsid w:val="00A336BD"/>
    <w:rsid w:val="00A365FC"/>
    <w:rsid w:val="00A41D56"/>
    <w:rsid w:val="00A66E3A"/>
    <w:rsid w:val="00A71BE3"/>
    <w:rsid w:val="00A9636A"/>
    <w:rsid w:val="00AD792E"/>
    <w:rsid w:val="00AE5226"/>
    <w:rsid w:val="00B066D9"/>
    <w:rsid w:val="00B40C4E"/>
    <w:rsid w:val="00B51FC9"/>
    <w:rsid w:val="00B5350D"/>
    <w:rsid w:val="00B54CBA"/>
    <w:rsid w:val="00B66088"/>
    <w:rsid w:val="00B91DF5"/>
    <w:rsid w:val="00B978C7"/>
    <w:rsid w:val="00BA13BC"/>
    <w:rsid w:val="00BC6EED"/>
    <w:rsid w:val="00BE4A72"/>
    <w:rsid w:val="00BF4316"/>
    <w:rsid w:val="00BF7417"/>
    <w:rsid w:val="00C46097"/>
    <w:rsid w:val="00CC128A"/>
    <w:rsid w:val="00CD531E"/>
    <w:rsid w:val="00CE06A8"/>
    <w:rsid w:val="00CE688F"/>
    <w:rsid w:val="00D10D88"/>
    <w:rsid w:val="00D30AB4"/>
    <w:rsid w:val="00DA2044"/>
    <w:rsid w:val="00DA2592"/>
    <w:rsid w:val="00DA61DE"/>
    <w:rsid w:val="00DB609B"/>
    <w:rsid w:val="00DF47D0"/>
    <w:rsid w:val="00DF75E1"/>
    <w:rsid w:val="00E034E8"/>
    <w:rsid w:val="00E17ED4"/>
    <w:rsid w:val="00E425B4"/>
    <w:rsid w:val="00E43DDC"/>
    <w:rsid w:val="00E671BA"/>
    <w:rsid w:val="00E741FD"/>
    <w:rsid w:val="00E82E5B"/>
    <w:rsid w:val="00E95091"/>
    <w:rsid w:val="00EC2697"/>
    <w:rsid w:val="00EC2C12"/>
    <w:rsid w:val="00ED19EB"/>
    <w:rsid w:val="00EE11B5"/>
    <w:rsid w:val="00F328DE"/>
    <w:rsid w:val="00F349EF"/>
    <w:rsid w:val="00F5605D"/>
    <w:rsid w:val="00F6626E"/>
    <w:rsid w:val="00F74D0F"/>
    <w:rsid w:val="00F905CC"/>
    <w:rsid w:val="00FA2B92"/>
    <w:rsid w:val="00FB2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CFBB6E"/>
  <w15:docId w15:val="{9DF9C057-5690-4DE6-A9DC-99256793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2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53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D25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253B"/>
  </w:style>
  <w:style w:type="paragraph" w:styleId="Piedepgina">
    <w:name w:val="footer"/>
    <w:basedOn w:val="Normal"/>
    <w:link w:val="PiedepginaCar"/>
    <w:uiPriority w:val="99"/>
    <w:unhideWhenUsed/>
    <w:rsid w:val="006D25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53B"/>
  </w:style>
  <w:style w:type="paragraph" w:styleId="Prrafodelista">
    <w:name w:val="List Paragraph"/>
    <w:basedOn w:val="Normal"/>
    <w:uiPriority w:val="34"/>
    <w:qFormat/>
    <w:rsid w:val="00DB609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B609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76F42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76F42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F42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F42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F42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F4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F2F5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5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9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2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1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8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7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s.velasco@usc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E7281-9C37-4B56-9DB1-D69CCBC45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1450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Fernández Fadón</dc:creator>
  <cp:lastModifiedBy>Fernando Fernández Fadón</cp:lastModifiedBy>
  <cp:revision>3</cp:revision>
  <cp:lastPrinted>2018-05-07T09:00:00Z</cp:lastPrinted>
  <dcterms:created xsi:type="dcterms:W3CDTF">2019-02-05T17:54:00Z</dcterms:created>
  <dcterms:modified xsi:type="dcterms:W3CDTF">2019-02-05T17:55:00Z</dcterms:modified>
</cp:coreProperties>
</file>